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0A315" w14:textId="77777777" w:rsidR="00984C3B" w:rsidRPr="00984C3B" w:rsidRDefault="00984C3B" w:rsidP="00984C3B">
      <w:pPr>
        <w:spacing w:after="0"/>
        <w:rPr>
          <w:rFonts w:eastAsiaTheme="majorEastAsia" w:cstheme="majorBidi"/>
          <w:b/>
          <w:bCs/>
          <w:color w:val="C00000"/>
          <w:sz w:val="4"/>
          <w:szCs w:val="4"/>
        </w:rPr>
      </w:pPr>
      <w:bookmarkStart w:id="0" w:name="_GoBack"/>
      <w:bookmarkEnd w:id="0"/>
    </w:p>
    <w:p w14:paraId="16C14BAB" w14:textId="77777777" w:rsidR="00FC3764" w:rsidRDefault="00FC3764" w:rsidP="00F501E8">
      <w:pPr>
        <w:spacing w:after="120"/>
        <w:ind w:left="-142" w:firstLine="142"/>
        <w:rPr>
          <w:rFonts w:eastAsiaTheme="majorEastAsia" w:cstheme="majorBidi"/>
          <w:b/>
          <w:bCs/>
          <w:color w:val="C00000"/>
          <w:sz w:val="26"/>
          <w:szCs w:val="28"/>
        </w:rPr>
      </w:pPr>
    </w:p>
    <w:p w14:paraId="102D2982" w14:textId="781E0B2D" w:rsidR="00150596" w:rsidRDefault="00FC3764" w:rsidP="00F501E8">
      <w:pPr>
        <w:spacing w:after="120"/>
        <w:ind w:left="-142" w:firstLine="142"/>
        <w:rPr>
          <w:rFonts w:eastAsiaTheme="majorEastAsia" w:cstheme="majorBidi"/>
          <w:b/>
          <w:bCs/>
          <w:color w:val="C00000"/>
          <w:sz w:val="26"/>
          <w:szCs w:val="28"/>
        </w:rPr>
      </w:pPr>
      <w:r>
        <w:rPr>
          <w:noProof/>
          <w:lang w:val="en-GB" w:eastAsia="en-GB"/>
        </w:rPr>
        <w:drawing>
          <wp:anchor distT="0" distB="0" distL="114300" distR="114300" simplePos="0" relativeHeight="251915264" behindDoc="0" locked="0" layoutInCell="1" allowOverlap="1" wp14:anchorId="3EE7B99F" wp14:editId="339FC292">
            <wp:simplePos x="0" y="0"/>
            <wp:positionH relativeFrom="margin">
              <wp:posOffset>3533775</wp:posOffset>
            </wp:positionH>
            <wp:positionV relativeFrom="paragraph">
              <wp:posOffset>122555</wp:posOffset>
            </wp:positionV>
            <wp:extent cx="3095625" cy="1743075"/>
            <wp:effectExtent l="0" t="0" r="66675" b="28575"/>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150596">
        <w:rPr>
          <w:rFonts w:eastAsiaTheme="majorEastAsia" w:cstheme="majorBidi"/>
          <w:b/>
          <w:bCs/>
          <w:color w:val="C00000"/>
          <w:sz w:val="26"/>
          <w:szCs w:val="28"/>
        </w:rPr>
        <w:t>Context</w:t>
      </w:r>
    </w:p>
    <w:p w14:paraId="2E56B8BC" w14:textId="287A725F" w:rsidR="00AA6977" w:rsidRPr="00E672A4" w:rsidRDefault="00AA6977" w:rsidP="00AA6977">
      <w:pPr>
        <w:rPr>
          <w:sz w:val="22"/>
          <w:lang w:val="en-GB"/>
        </w:rPr>
      </w:pPr>
      <w:r w:rsidRPr="00E672A4">
        <w:rPr>
          <w:sz w:val="22"/>
          <w:lang w:val="en-GB"/>
        </w:rPr>
        <w:t xml:space="preserve">While </w:t>
      </w:r>
      <w:r w:rsidRPr="00E672A4">
        <w:rPr>
          <w:sz w:val="22"/>
          <w:szCs w:val="21"/>
        </w:rPr>
        <w:t>DRE</w:t>
      </w:r>
      <w:r w:rsidRPr="00E672A4">
        <w:rPr>
          <w:rStyle w:val="FootnoteReference"/>
          <w:sz w:val="22"/>
          <w:szCs w:val="21"/>
        </w:rPr>
        <w:footnoteReference w:id="1"/>
      </w:r>
      <w:r w:rsidRPr="00E672A4">
        <w:rPr>
          <w:sz w:val="22"/>
          <w:lang w:val="en-GB"/>
        </w:rPr>
        <w:t xml:space="preserve"> based interventions for enabling energy access as also energy sufficiency are gaining ground, </w:t>
      </w:r>
      <w:r w:rsidRPr="00E672A4">
        <w:rPr>
          <w:b/>
          <w:sz w:val="22"/>
          <w:lang w:val="en-GB"/>
        </w:rPr>
        <w:t>a key conundrum exists regressing the upscaling of the segment:  companies operating in the sector are hampered by the lack of debt in their ability to scale</w:t>
      </w:r>
      <w:r w:rsidRPr="00E672A4">
        <w:rPr>
          <w:sz w:val="22"/>
          <w:lang w:val="en-GB"/>
        </w:rPr>
        <w:t xml:space="preserve">. </w:t>
      </w:r>
    </w:p>
    <w:p w14:paraId="4FF9CC27" w14:textId="77777777" w:rsidR="00AA6977" w:rsidRPr="00E672A4" w:rsidRDefault="00AA6977" w:rsidP="00AA6977">
      <w:pPr>
        <w:rPr>
          <w:color w:val="auto"/>
          <w:sz w:val="22"/>
        </w:rPr>
      </w:pPr>
      <w:r w:rsidRPr="00E672A4">
        <w:rPr>
          <w:color w:val="auto"/>
          <w:sz w:val="22"/>
        </w:rPr>
        <w:t>This emanates from lack of scale and debt-servicing track record making conventional debt providers wary of entering the sector and  /or unable to meet the requirements of the segments.</w:t>
      </w:r>
    </w:p>
    <w:p w14:paraId="231D8799" w14:textId="66B4A041" w:rsidR="00AA6977" w:rsidRPr="00E672A4" w:rsidRDefault="00AA6977" w:rsidP="00322726">
      <w:pPr>
        <w:spacing w:after="0"/>
        <w:rPr>
          <w:color w:val="auto"/>
          <w:sz w:val="22"/>
        </w:rPr>
      </w:pPr>
      <w:r w:rsidRPr="00E672A4">
        <w:rPr>
          <w:color w:val="auto"/>
          <w:sz w:val="22"/>
          <w:lang w:val="en-GB"/>
        </w:rPr>
        <w:t>C</w:t>
      </w:r>
      <w:r w:rsidRPr="00E672A4">
        <w:rPr>
          <w:i/>
          <w:color w:val="auto"/>
          <w:sz w:val="22"/>
          <w:lang w:val="en-GB"/>
        </w:rPr>
        <w:t>apital needed, even debt, needs to be at a low cost, while being able to absorb high risk</w:t>
      </w:r>
      <w:r w:rsidRPr="00E672A4">
        <w:rPr>
          <w:sz w:val="22"/>
          <w:lang w:val="en-GB"/>
        </w:rPr>
        <w:t xml:space="preserve"> </w:t>
      </w:r>
      <w:r w:rsidRPr="00E672A4">
        <w:rPr>
          <w:color w:val="auto"/>
          <w:sz w:val="22"/>
        </w:rPr>
        <w:t xml:space="preserve">- infact despite the priority sector lending norms now being applicable to DRE, banks’ willingness to lend hasn’t significantly altered.  The primary bottlenecks include: </w:t>
      </w:r>
      <w:r w:rsidR="0042493F">
        <w:rPr>
          <w:color w:val="auto"/>
          <w:sz w:val="22"/>
        </w:rPr>
        <w:t>(</w:t>
      </w:r>
      <w:proofErr w:type="spellStart"/>
      <w:r w:rsidRPr="00E672A4">
        <w:rPr>
          <w:color w:val="auto"/>
          <w:sz w:val="22"/>
        </w:rPr>
        <w:t>i</w:t>
      </w:r>
      <w:proofErr w:type="spellEnd"/>
      <w:r w:rsidRPr="00E672A4">
        <w:rPr>
          <w:color w:val="auto"/>
          <w:sz w:val="22"/>
        </w:rPr>
        <w:t xml:space="preserve">) nature and cost of debt, </w:t>
      </w:r>
      <w:r w:rsidR="0042493F">
        <w:rPr>
          <w:color w:val="auto"/>
          <w:sz w:val="22"/>
        </w:rPr>
        <w:t>(</w:t>
      </w:r>
      <w:r w:rsidRPr="00E672A4">
        <w:rPr>
          <w:color w:val="auto"/>
          <w:sz w:val="22"/>
        </w:rPr>
        <w:t xml:space="preserve">ii) stringent conditions that preclude early stage businesses and </w:t>
      </w:r>
      <w:r w:rsidR="0042493F">
        <w:rPr>
          <w:color w:val="auto"/>
          <w:sz w:val="22"/>
        </w:rPr>
        <w:t>(</w:t>
      </w:r>
      <w:r w:rsidRPr="00E672A4">
        <w:rPr>
          <w:color w:val="auto"/>
          <w:sz w:val="22"/>
        </w:rPr>
        <w:t>iii) lack of precedence and benchmarks leading to high risk perception</w:t>
      </w:r>
      <w:r w:rsidR="00322726" w:rsidRPr="00E672A4">
        <w:rPr>
          <w:color w:val="auto"/>
          <w:sz w:val="22"/>
        </w:rPr>
        <w:t xml:space="preserve"> and fear of creation of non – performing assets. </w:t>
      </w:r>
    </w:p>
    <w:p w14:paraId="10D1B217" w14:textId="77777777" w:rsidR="009112A1" w:rsidRPr="00E672A4" w:rsidRDefault="009112A1" w:rsidP="00002480">
      <w:pPr>
        <w:spacing w:after="0"/>
        <w:jc w:val="both"/>
        <w:rPr>
          <w:color w:val="auto"/>
          <w:sz w:val="22"/>
          <w:szCs w:val="18"/>
        </w:rPr>
      </w:pPr>
    </w:p>
    <w:p w14:paraId="010BD8C7" w14:textId="57FD4650" w:rsidR="009112A1" w:rsidRPr="00E672A4" w:rsidRDefault="009112A1" w:rsidP="009112A1">
      <w:pPr>
        <w:spacing w:after="0"/>
        <w:jc w:val="both"/>
        <w:rPr>
          <w:color w:val="auto"/>
          <w:sz w:val="22"/>
          <w:szCs w:val="18"/>
        </w:rPr>
      </w:pPr>
      <w:r w:rsidRPr="00E672A4">
        <w:rPr>
          <w:color w:val="auto"/>
          <w:sz w:val="22"/>
          <w:szCs w:val="18"/>
        </w:rPr>
        <w:t>Even as these challenges are being encountered on ground, Decentralized Renewable Energy (DRE) is being viewed as central to India’s</w:t>
      </w:r>
      <w:r w:rsidR="006B4EFD" w:rsidRPr="00E672A4">
        <w:rPr>
          <w:color w:val="auto"/>
          <w:sz w:val="22"/>
          <w:szCs w:val="18"/>
        </w:rPr>
        <w:t xml:space="preserve"> </w:t>
      </w:r>
      <w:r w:rsidR="006B4EFD" w:rsidRPr="00E672A4">
        <w:rPr>
          <w:color w:val="auto"/>
          <w:sz w:val="22"/>
        </w:rPr>
        <w:t>Intended Nationally Determined Contribution</w:t>
      </w:r>
      <w:r w:rsidR="006B4EFD" w:rsidRPr="00E672A4">
        <w:rPr>
          <w:rStyle w:val="FootnoteReference"/>
          <w:color w:val="auto"/>
          <w:sz w:val="22"/>
          <w:szCs w:val="18"/>
        </w:rPr>
        <w:footnoteReference w:id="2"/>
      </w:r>
      <w:r w:rsidR="006B4EFD" w:rsidRPr="00E672A4">
        <w:rPr>
          <w:sz w:val="22"/>
        </w:rPr>
        <w:t xml:space="preserve"> (</w:t>
      </w:r>
      <w:r w:rsidRPr="00E672A4">
        <w:rPr>
          <w:color w:val="auto"/>
          <w:sz w:val="22"/>
          <w:szCs w:val="18"/>
        </w:rPr>
        <w:t>INDC</w:t>
      </w:r>
      <w:r w:rsidR="006B4EFD" w:rsidRPr="00E672A4">
        <w:rPr>
          <w:color w:val="auto"/>
          <w:sz w:val="22"/>
          <w:szCs w:val="18"/>
        </w:rPr>
        <w:t>)</w:t>
      </w:r>
      <w:r w:rsidRPr="00E672A4">
        <w:rPr>
          <w:color w:val="auto"/>
          <w:sz w:val="22"/>
          <w:szCs w:val="18"/>
        </w:rPr>
        <w:t xml:space="preserve"> pathway – a significant component of India’s 40 GW decentralized solar target entails small power plants, solar pumping programs and other systems targeted at energy access. </w:t>
      </w:r>
    </w:p>
    <w:p w14:paraId="297CE5B5" w14:textId="698A444D" w:rsidR="009112A1" w:rsidRPr="00E672A4" w:rsidRDefault="009112A1" w:rsidP="009112A1">
      <w:pPr>
        <w:spacing w:after="0"/>
        <w:jc w:val="both"/>
        <w:rPr>
          <w:color w:val="auto"/>
          <w:sz w:val="22"/>
          <w:szCs w:val="18"/>
        </w:rPr>
      </w:pPr>
      <w:r w:rsidRPr="00E672A4">
        <w:rPr>
          <w:color w:val="auto"/>
          <w:sz w:val="22"/>
          <w:szCs w:val="18"/>
        </w:rPr>
        <w:t>However this is unlikely to be achieved where capital supply, both in quantum and nature, continues to be strained. Thus, an opportunity exists to align the Indian domestic financial sector &amp; create interventions that will encourage &amp; support lenders to lend to the space.</w:t>
      </w:r>
    </w:p>
    <w:p w14:paraId="57A9D5D3" w14:textId="77777777" w:rsidR="009112A1" w:rsidRPr="00E672A4" w:rsidRDefault="009112A1" w:rsidP="00002480">
      <w:pPr>
        <w:spacing w:after="0"/>
        <w:jc w:val="both"/>
        <w:rPr>
          <w:color w:val="auto"/>
          <w:sz w:val="22"/>
          <w:szCs w:val="18"/>
        </w:rPr>
      </w:pPr>
    </w:p>
    <w:p w14:paraId="1E6B422D" w14:textId="3C40D20E" w:rsidR="003E5F2E" w:rsidRPr="00E672A4" w:rsidRDefault="003E5F2E" w:rsidP="003E5F2E">
      <w:pPr>
        <w:spacing w:after="0"/>
        <w:jc w:val="both"/>
        <w:rPr>
          <w:color w:val="auto"/>
          <w:sz w:val="22"/>
          <w:szCs w:val="18"/>
        </w:rPr>
      </w:pPr>
      <w:r w:rsidRPr="0042493F">
        <w:rPr>
          <w:b/>
          <w:color w:val="auto"/>
          <w:sz w:val="22"/>
          <w:szCs w:val="18"/>
        </w:rPr>
        <w:t>Risk Guarantees have often been deliberated upon as a potential instrument needed to unlock capital in the DRE energy access space, particularly from mainstream lenders</w:t>
      </w:r>
      <w:r w:rsidRPr="00E672A4">
        <w:rPr>
          <w:color w:val="auto"/>
          <w:sz w:val="22"/>
          <w:szCs w:val="18"/>
        </w:rPr>
        <w:t>. While some attempts have been made to offer these products, they haven’t necessarily inspired engagement from the market participants.</w:t>
      </w:r>
    </w:p>
    <w:p w14:paraId="3BC0DC98" w14:textId="3A74BA9A" w:rsidR="00E672A4" w:rsidRDefault="00E672A4" w:rsidP="000B5C78">
      <w:pPr>
        <w:spacing w:after="0"/>
        <w:jc w:val="both"/>
        <w:rPr>
          <w:color w:val="auto"/>
          <w:sz w:val="22"/>
          <w:szCs w:val="18"/>
          <w:highlight w:val="yellow"/>
        </w:rPr>
      </w:pPr>
    </w:p>
    <w:p w14:paraId="2EABAD8F" w14:textId="4A0E92EC" w:rsidR="00E672A4" w:rsidRDefault="00E672A4" w:rsidP="000B5C78">
      <w:pPr>
        <w:spacing w:after="0"/>
        <w:jc w:val="both"/>
        <w:rPr>
          <w:color w:val="auto"/>
          <w:sz w:val="22"/>
          <w:szCs w:val="18"/>
          <w:highlight w:val="yellow"/>
        </w:rPr>
      </w:pPr>
    </w:p>
    <w:p w14:paraId="26F2B910" w14:textId="2858F790" w:rsidR="0042493F" w:rsidRDefault="0042493F" w:rsidP="0042493F">
      <w:pPr>
        <w:spacing w:after="0"/>
        <w:jc w:val="both"/>
        <w:rPr>
          <w:color w:val="auto"/>
          <w:sz w:val="22"/>
          <w:szCs w:val="18"/>
        </w:rPr>
      </w:pPr>
    </w:p>
    <w:p w14:paraId="7D862930" w14:textId="48B264B1" w:rsidR="004E72F9" w:rsidRPr="00E672A4" w:rsidRDefault="003E5F2E" w:rsidP="0042493F">
      <w:pPr>
        <w:spacing w:after="0"/>
        <w:jc w:val="both"/>
        <w:rPr>
          <w:color w:val="auto"/>
          <w:sz w:val="22"/>
          <w:szCs w:val="18"/>
        </w:rPr>
      </w:pPr>
      <w:r w:rsidRPr="00E672A4">
        <w:rPr>
          <w:color w:val="auto"/>
          <w:sz w:val="22"/>
          <w:szCs w:val="18"/>
        </w:rPr>
        <w:t xml:space="preserve">As part of Climate and Development Knowledge Network’s (CDKN) business partnership program, </w:t>
      </w:r>
      <w:r w:rsidR="004E72F9" w:rsidRPr="00E672A4">
        <w:rPr>
          <w:color w:val="auto"/>
          <w:sz w:val="22"/>
          <w:szCs w:val="18"/>
        </w:rPr>
        <w:t xml:space="preserve">in </w:t>
      </w:r>
      <w:r w:rsidR="00CB35A0" w:rsidRPr="00E672A4">
        <w:rPr>
          <w:color w:val="auto"/>
          <w:sz w:val="22"/>
          <w:szCs w:val="18"/>
        </w:rPr>
        <w:t xml:space="preserve">late 2015 and </w:t>
      </w:r>
      <w:r w:rsidR="004E72F9" w:rsidRPr="00E672A4">
        <w:rPr>
          <w:color w:val="auto"/>
          <w:sz w:val="22"/>
          <w:szCs w:val="18"/>
        </w:rPr>
        <w:t>early 2016</w:t>
      </w:r>
      <w:r w:rsidRPr="00E672A4">
        <w:rPr>
          <w:color w:val="auto"/>
          <w:sz w:val="22"/>
          <w:szCs w:val="18"/>
        </w:rPr>
        <w:t xml:space="preserve">, </w:t>
      </w:r>
      <w:proofErr w:type="spellStart"/>
      <w:r w:rsidRPr="00E672A4">
        <w:rPr>
          <w:color w:val="auto"/>
          <w:sz w:val="22"/>
          <w:szCs w:val="18"/>
        </w:rPr>
        <w:t>cKinetics</w:t>
      </w:r>
      <w:proofErr w:type="spellEnd"/>
      <w:r w:rsidRPr="00E672A4">
        <w:rPr>
          <w:color w:val="auto"/>
          <w:sz w:val="22"/>
          <w:szCs w:val="18"/>
        </w:rPr>
        <w:t xml:space="preserve"> </w:t>
      </w:r>
      <w:r w:rsidR="004E72F9" w:rsidRPr="00E672A4">
        <w:rPr>
          <w:color w:val="auto"/>
          <w:sz w:val="22"/>
          <w:szCs w:val="18"/>
        </w:rPr>
        <w:t xml:space="preserve">undertook a </w:t>
      </w:r>
      <w:r w:rsidR="00CB35A0" w:rsidRPr="00E672A4">
        <w:rPr>
          <w:color w:val="auto"/>
          <w:sz w:val="22"/>
          <w:szCs w:val="18"/>
        </w:rPr>
        <w:t xml:space="preserve">sector wide </w:t>
      </w:r>
      <w:r w:rsidR="004E72F9" w:rsidRPr="00E672A4">
        <w:rPr>
          <w:color w:val="auto"/>
          <w:sz w:val="22"/>
          <w:szCs w:val="18"/>
        </w:rPr>
        <w:t xml:space="preserve">assessment </w:t>
      </w:r>
      <w:r w:rsidR="009112A1" w:rsidRPr="00E672A4">
        <w:rPr>
          <w:color w:val="auto"/>
          <w:sz w:val="22"/>
          <w:szCs w:val="18"/>
        </w:rPr>
        <w:t xml:space="preserve">on the role and likely impact of guarantees in decentralized renewable energy (DRE) led energy access domain. The study included review of design and operational characteristics of existing guarantee products in India as available for various sectors, tabling their functionality etc. in order to leverage learnings from them for the DRE segments. </w:t>
      </w:r>
    </w:p>
    <w:p w14:paraId="5A59F396" w14:textId="10808E1B" w:rsidR="00F501E8" w:rsidRDefault="00E87064" w:rsidP="00622EC7">
      <w:pPr>
        <w:spacing w:after="0" w:line="264" w:lineRule="auto"/>
        <w:jc w:val="both"/>
        <w:rPr>
          <w:color w:val="auto"/>
          <w:szCs w:val="18"/>
        </w:rPr>
      </w:pPr>
      <w:r w:rsidRPr="00E672A4">
        <w:rPr>
          <w:i/>
          <w:sz w:val="22"/>
        </w:rPr>
        <w:t xml:space="preserve">Our engagement concentrated on understanding the </w:t>
      </w:r>
      <w:r w:rsidR="0076569D">
        <w:rPr>
          <w:i/>
          <w:sz w:val="22"/>
        </w:rPr>
        <w:t xml:space="preserve">challenges as also </w:t>
      </w:r>
      <w:r w:rsidR="00FC3764">
        <w:rPr>
          <w:i/>
          <w:sz w:val="22"/>
        </w:rPr>
        <w:t xml:space="preserve">identifying </w:t>
      </w:r>
      <w:r w:rsidR="0076569D" w:rsidRPr="00FC3764">
        <w:rPr>
          <w:i/>
          <w:sz w:val="22"/>
        </w:rPr>
        <w:t xml:space="preserve">the </w:t>
      </w:r>
      <w:r w:rsidRPr="00FC3764">
        <w:rPr>
          <w:i/>
          <w:sz w:val="22"/>
        </w:rPr>
        <w:t xml:space="preserve">specific policy </w:t>
      </w:r>
      <w:r w:rsidR="0076569D" w:rsidRPr="00FC3764">
        <w:rPr>
          <w:i/>
          <w:sz w:val="22"/>
        </w:rPr>
        <w:t xml:space="preserve">engagement that can help </w:t>
      </w:r>
      <w:r w:rsidRPr="00FC3764">
        <w:rPr>
          <w:i/>
          <w:sz w:val="22"/>
        </w:rPr>
        <w:t>unravel the</w:t>
      </w:r>
      <w:r w:rsidRPr="00E672A4">
        <w:rPr>
          <w:i/>
          <w:sz w:val="22"/>
        </w:rPr>
        <w:t xml:space="preserve"> potential in an effective manner</w:t>
      </w:r>
      <w:r w:rsidRPr="00E672A4">
        <w:rPr>
          <w:sz w:val="22"/>
        </w:rPr>
        <w:t>.</w:t>
      </w:r>
    </w:p>
    <w:p w14:paraId="56664D51" w14:textId="4AC44F3F" w:rsidR="00FC5C2E" w:rsidRPr="0076569D" w:rsidRDefault="00622EC7" w:rsidP="0076569D">
      <w:pPr>
        <w:spacing w:before="120" w:after="0"/>
        <w:ind w:left="-142"/>
        <w:rPr>
          <w:rFonts w:eastAsiaTheme="majorEastAsia" w:cstheme="majorBidi"/>
          <w:b/>
          <w:bCs/>
          <w:color w:val="C00000"/>
          <w:sz w:val="26"/>
          <w:szCs w:val="28"/>
        </w:rPr>
      </w:pPr>
      <w:r w:rsidRPr="0076569D">
        <w:rPr>
          <w:rFonts w:eastAsiaTheme="majorEastAsia" w:cstheme="majorBidi"/>
          <w:b/>
          <w:bCs/>
          <w:color w:val="C00000"/>
          <w:sz w:val="26"/>
          <w:szCs w:val="28"/>
        </w:rPr>
        <w:t>C</w:t>
      </w:r>
      <w:r w:rsidR="00FC5C2E" w:rsidRPr="0076569D">
        <w:rPr>
          <w:rFonts w:eastAsiaTheme="majorEastAsia" w:cstheme="majorBidi"/>
          <w:b/>
          <w:bCs/>
          <w:color w:val="C00000"/>
          <w:sz w:val="26"/>
          <w:szCs w:val="28"/>
        </w:rPr>
        <w:t>atalyzing supply of capital: Role and Need for Risk Guarantees</w:t>
      </w:r>
    </w:p>
    <w:p w14:paraId="0D87023B" w14:textId="7040306E" w:rsidR="00622EC7" w:rsidRPr="00622EC7" w:rsidRDefault="00622EC7" w:rsidP="00622EC7">
      <w:pPr>
        <w:rPr>
          <w:color w:val="auto"/>
          <w:sz w:val="22"/>
        </w:rPr>
      </w:pPr>
      <w:r w:rsidRPr="00622EC7">
        <w:rPr>
          <w:color w:val="auto"/>
          <w:sz w:val="22"/>
        </w:rPr>
        <w:t xml:space="preserve">There are 4 primary business segments covering the electricity oriented energy access landscape: Lighting Only Pico and Micro-Grids, Community and Telecom Loads Oriented Mini-grids, Solar Home Lighting Systems and Solar Pumping. </w:t>
      </w:r>
    </w:p>
    <w:p w14:paraId="0F6D4763" w14:textId="77777777" w:rsidR="00622EC7" w:rsidRPr="00622EC7" w:rsidRDefault="00622EC7" w:rsidP="00622EC7">
      <w:pPr>
        <w:spacing w:after="0"/>
        <w:rPr>
          <w:b/>
          <w:color w:val="auto"/>
          <w:sz w:val="22"/>
          <w:lang w:val="en-IN"/>
        </w:rPr>
      </w:pPr>
      <w:r w:rsidRPr="00622EC7">
        <w:rPr>
          <w:color w:val="auto"/>
          <w:sz w:val="22"/>
          <w:lang w:val="en-IN"/>
        </w:rPr>
        <w:t>Assessment of the business segments reveals that capital is needed for the following 3 types of uses:</w:t>
      </w:r>
    </w:p>
    <w:p w14:paraId="6E584C0C" w14:textId="77777777" w:rsidR="00622EC7" w:rsidRPr="00FC3764" w:rsidRDefault="00622EC7" w:rsidP="00622EC7">
      <w:pPr>
        <w:pStyle w:val="ListParagraph"/>
        <w:numPr>
          <w:ilvl w:val="0"/>
          <w:numId w:val="10"/>
        </w:numPr>
        <w:spacing w:after="0"/>
        <w:ind w:left="284" w:hanging="284"/>
        <w:rPr>
          <w:color w:val="auto"/>
          <w:sz w:val="22"/>
        </w:rPr>
      </w:pPr>
      <w:r w:rsidRPr="00FC3764">
        <w:rPr>
          <w:color w:val="auto"/>
          <w:sz w:val="22"/>
          <w:lang w:val="en-IN"/>
        </w:rPr>
        <w:t xml:space="preserve">Long (infrastructure) term venture/ project debt to finance assets </w:t>
      </w:r>
    </w:p>
    <w:p w14:paraId="4C6A5335" w14:textId="77777777" w:rsidR="00622EC7" w:rsidRPr="00FC3764" w:rsidRDefault="00622EC7" w:rsidP="00622EC7">
      <w:pPr>
        <w:pStyle w:val="ListParagraph"/>
        <w:numPr>
          <w:ilvl w:val="0"/>
          <w:numId w:val="10"/>
        </w:numPr>
        <w:spacing w:after="0"/>
        <w:ind w:left="284" w:hanging="284"/>
        <w:rPr>
          <w:color w:val="auto"/>
          <w:sz w:val="22"/>
          <w:lang w:val="en-IN"/>
        </w:rPr>
      </w:pPr>
      <w:r w:rsidRPr="00FC3764">
        <w:rPr>
          <w:color w:val="auto"/>
          <w:sz w:val="22"/>
          <w:lang w:val="en-IN"/>
        </w:rPr>
        <w:t>Medium term venture / project debt to finance medium to long term assets</w:t>
      </w:r>
    </w:p>
    <w:p w14:paraId="78A5A24E" w14:textId="77777777" w:rsidR="00622EC7" w:rsidRPr="00FC3764" w:rsidRDefault="00622EC7" w:rsidP="00622EC7">
      <w:pPr>
        <w:pStyle w:val="ListParagraph"/>
        <w:numPr>
          <w:ilvl w:val="0"/>
          <w:numId w:val="10"/>
        </w:numPr>
        <w:spacing w:after="0"/>
        <w:ind w:left="284" w:hanging="284"/>
        <w:rPr>
          <w:color w:val="auto"/>
          <w:sz w:val="22"/>
          <w:lang w:val="en-IN"/>
        </w:rPr>
      </w:pPr>
      <w:r w:rsidRPr="00FC3764">
        <w:rPr>
          <w:color w:val="auto"/>
          <w:sz w:val="22"/>
          <w:lang w:val="en-IN"/>
        </w:rPr>
        <w:t>Construction financing for companies operating as an EPC or in a Build Operate Transfer Model</w:t>
      </w:r>
    </w:p>
    <w:p w14:paraId="4E93E645" w14:textId="77777777" w:rsidR="00622EC7" w:rsidRDefault="00622EC7" w:rsidP="00622EC7">
      <w:pPr>
        <w:spacing w:after="0"/>
      </w:pPr>
    </w:p>
    <w:p w14:paraId="2A4361CD" w14:textId="1AF5C14E" w:rsidR="00622EC7" w:rsidRPr="00622EC7" w:rsidRDefault="00622EC7" w:rsidP="00622EC7">
      <w:pPr>
        <w:spacing w:after="0"/>
        <w:rPr>
          <w:b/>
          <w:color w:val="auto"/>
          <w:sz w:val="28"/>
          <w:lang w:val="en-IN"/>
        </w:rPr>
      </w:pPr>
      <w:r w:rsidRPr="00622EC7">
        <w:rPr>
          <w:color w:val="auto"/>
          <w:sz w:val="22"/>
        </w:rPr>
        <w:t>An overview of the risks associated with these sub-segments is mapped out in the Table overleaf</w:t>
      </w:r>
      <w:r>
        <w:rPr>
          <w:color w:val="auto"/>
          <w:sz w:val="22"/>
        </w:rPr>
        <w:t>.</w:t>
      </w:r>
    </w:p>
    <w:p w14:paraId="3B17C486" w14:textId="77777777" w:rsidR="00622EC7" w:rsidRDefault="00622EC7" w:rsidP="00622EC7">
      <w:pPr>
        <w:pStyle w:val="Heading2"/>
      </w:pPr>
    </w:p>
    <w:p w14:paraId="6681F309" w14:textId="255D8784" w:rsidR="00622EC7" w:rsidRPr="0037049E" w:rsidRDefault="00622EC7" w:rsidP="00622EC7">
      <w:pPr>
        <w:rPr>
          <w:b/>
        </w:rPr>
      </w:pPr>
    </w:p>
    <w:p w14:paraId="3E926D46" w14:textId="77777777" w:rsidR="0042493F" w:rsidRDefault="0042493F" w:rsidP="006B4EFD">
      <w:pPr>
        <w:spacing w:after="0"/>
        <w:jc w:val="both"/>
        <w:rPr>
          <w:color w:val="auto"/>
          <w:sz w:val="22"/>
          <w:szCs w:val="18"/>
        </w:rPr>
        <w:sectPr w:rsidR="0042493F" w:rsidSect="00E672A4">
          <w:headerReference w:type="first" r:id="rId13"/>
          <w:footerReference w:type="first" r:id="rId14"/>
          <w:pgSz w:w="11907" w:h="16839" w:code="9"/>
          <w:pgMar w:top="720" w:right="720" w:bottom="720" w:left="720" w:header="288" w:footer="0" w:gutter="0"/>
          <w:cols w:num="2" w:space="720"/>
          <w:titlePg/>
          <w:docGrid w:linePitch="360"/>
        </w:sectPr>
      </w:pPr>
    </w:p>
    <w:p w14:paraId="606C49EA" w14:textId="6A579F98" w:rsidR="006B4EFD" w:rsidRPr="00E672A4" w:rsidRDefault="006B4EFD" w:rsidP="006B4EFD">
      <w:pPr>
        <w:spacing w:after="0"/>
        <w:jc w:val="both"/>
        <w:rPr>
          <w:color w:val="auto"/>
          <w:sz w:val="22"/>
          <w:szCs w:val="18"/>
        </w:rPr>
      </w:pPr>
    </w:p>
    <w:p w14:paraId="29D4D60D" w14:textId="54D5A0AA" w:rsidR="00F045B6" w:rsidRPr="00F75D30" w:rsidRDefault="00F045B6" w:rsidP="00F045B6">
      <w:pPr>
        <w:spacing w:after="0"/>
        <w:jc w:val="center"/>
        <w:rPr>
          <w:rStyle w:val="Emphasis"/>
          <w:b/>
          <w:i w:val="0"/>
          <w:sz w:val="22"/>
        </w:rPr>
      </w:pPr>
      <w:r w:rsidRPr="00F75D30">
        <w:rPr>
          <w:rStyle w:val="Emphasis"/>
          <w:b/>
          <w:i w:val="0"/>
          <w:sz w:val="22"/>
        </w:rPr>
        <w:t xml:space="preserve">Key </w:t>
      </w:r>
      <w:r w:rsidR="00F75D30">
        <w:rPr>
          <w:rStyle w:val="Emphasis"/>
          <w:b/>
          <w:i w:val="0"/>
          <w:sz w:val="22"/>
        </w:rPr>
        <w:t>r</w:t>
      </w:r>
      <w:r w:rsidRPr="00F75D30">
        <w:rPr>
          <w:rStyle w:val="Emphasis"/>
          <w:b/>
          <w:i w:val="0"/>
          <w:sz w:val="22"/>
        </w:rPr>
        <w:t>isks faced by the different business segments</w:t>
      </w:r>
      <w:r w:rsidR="00F75D30">
        <w:rPr>
          <w:rStyle w:val="Emphasis"/>
          <w:b/>
          <w:i w:val="0"/>
          <w:sz w:val="22"/>
        </w:rPr>
        <w:t xml:space="preserve"> in the energy access space</w:t>
      </w:r>
    </w:p>
    <w:tbl>
      <w:tblPr>
        <w:tblStyle w:val="LightGrid-Accent22"/>
        <w:tblW w:w="10632" w:type="dxa"/>
        <w:tblInd w:w="-318" w:type="dxa"/>
        <w:tblLayout w:type="fixed"/>
        <w:tblLook w:val="04A0" w:firstRow="1" w:lastRow="0" w:firstColumn="1" w:lastColumn="0" w:noHBand="0" w:noVBand="1"/>
      </w:tblPr>
      <w:tblGrid>
        <w:gridCol w:w="1277"/>
        <w:gridCol w:w="3118"/>
        <w:gridCol w:w="2977"/>
        <w:gridCol w:w="1701"/>
        <w:gridCol w:w="142"/>
        <w:gridCol w:w="1417"/>
      </w:tblGrid>
      <w:tr w:rsidR="00F045B6" w:rsidRPr="008B3CA8" w14:paraId="3EA95EB8" w14:textId="77777777" w:rsidTr="00AB0A44">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277" w:type="dxa"/>
            <w:shd w:val="clear" w:color="auto" w:fill="E5B8B7" w:themeFill="accent2" w:themeFillTint="66"/>
          </w:tcPr>
          <w:p w14:paraId="65246E9D" w14:textId="77777777" w:rsidR="00F045B6" w:rsidRPr="008B3CA8" w:rsidRDefault="00F045B6" w:rsidP="00AB0A44">
            <w:pPr>
              <w:rPr>
                <w:rFonts w:asciiTheme="minorHAnsi" w:hAnsiTheme="minorHAnsi"/>
                <w:b w:val="0"/>
                <w:szCs w:val="18"/>
              </w:rPr>
            </w:pPr>
            <w:r w:rsidRPr="008B3CA8">
              <w:rPr>
                <w:rFonts w:asciiTheme="minorHAnsi" w:hAnsiTheme="minorHAnsi"/>
                <w:szCs w:val="18"/>
              </w:rPr>
              <w:t>Risk Areas</w:t>
            </w:r>
          </w:p>
        </w:tc>
        <w:tc>
          <w:tcPr>
            <w:tcW w:w="9355" w:type="dxa"/>
            <w:gridSpan w:val="5"/>
            <w:shd w:val="clear" w:color="auto" w:fill="E5B8B7" w:themeFill="accent2" w:themeFillTint="66"/>
          </w:tcPr>
          <w:p w14:paraId="41B45839" w14:textId="77777777" w:rsidR="00F045B6" w:rsidRPr="008B3CA8" w:rsidRDefault="00F045B6" w:rsidP="00AB0A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18"/>
              </w:rPr>
            </w:pPr>
            <w:r w:rsidRPr="008B3CA8">
              <w:rPr>
                <w:rFonts w:asciiTheme="minorHAnsi" w:hAnsiTheme="minorHAnsi"/>
                <w:szCs w:val="18"/>
              </w:rPr>
              <w:t>Applicability</w:t>
            </w:r>
          </w:p>
        </w:tc>
      </w:tr>
      <w:tr w:rsidR="00F045B6" w:rsidRPr="008B3CA8" w14:paraId="3A1592D5" w14:textId="77777777" w:rsidTr="00AB0A44">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277" w:type="dxa"/>
            <w:shd w:val="clear" w:color="auto" w:fill="F2DBDB" w:themeFill="accent2" w:themeFillTint="33"/>
          </w:tcPr>
          <w:p w14:paraId="02A394C9" w14:textId="77777777" w:rsidR="00F045B6" w:rsidRPr="008B3CA8" w:rsidRDefault="00F045B6" w:rsidP="00AB0A44">
            <w:pPr>
              <w:rPr>
                <w:rFonts w:asciiTheme="minorHAnsi" w:hAnsiTheme="minorHAnsi"/>
                <w:b w:val="0"/>
                <w:szCs w:val="18"/>
              </w:rPr>
            </w:pPr>
          </w:p>
        </w:tc>
        <w:tc>
          <w:tcPr>
            <w:tcW w:w="3118" w:type="dxa"/>
            <w:shd w:val="clear" w:color="auto" w:fill="F2DBDB" w:themeFill="accent2" w:themeFillTint="33"/>
          </w:tcPr>
          <w:p w14:paraId="588F91A0" w14:textId="77777777" w:rsidR="00F045B6" w:rsidRPr="008B3CA8" w:rsidRDefault="00F045B6" w:rsidP="00AB0A44">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noProof/>
                <w:color w:val="000000" w:themeColor="text1"/>
                <w:szCs w:val="18"/>
                <w:lang w:val="en-GB" w:eastAsia="en-GB"/>
              </w:rPr>
              <mc:AlternateContent>
                <mc:Choice Requires="wps">
                  <w:drawing>
                    <wp:anchor distT="0" distB="0" distL="114300" distR="114300" simplePos="0" relativeHeight="251911168" behindDoc="0" locked="0" layoutInCell="1" allowOverlap="1" wp14:anchorId="5AA0883A" wp14:editId="5B96F6F4">
                      <wp:simplePos x="0" y="0"/>
                      <wp:positionH relativeFrom="column">
                        <wp:posOffset>1873885</wp:posOffset>
                      </wp:positionH>
                      <wp:positionV relativeFrom="paragraph">
                        <wp:posOffset>249555</wp:posOffset>
                      </wp:positionV>
                      <wp:extent cx="1981200" cy="1098550"/>
                      <wp:effectExtent l="0" t="0" r="19050" b="25400"/>
                      <wp:wrapNone/>
                      <wp:docPr id="59" name="Rectangle 59"/>
                      <wp:cNvGraphicFramePr/>
                      <a:graphic xmlns:a="http://schemas.openxmlformats.org/drawingml/2006/main">
                        <a:graphicData uri="http://schemas.microsoft.com/office/word/2010/wordprocessingShape">
                          <wps:wsp>
                            <wps:cNvSpPr/>
                            <wps:spPr>
                              <a:xfrm>
                                <a:off x="0" y="0"/>
                                <a:ext cx="1981200" cy="1098550"/>
                              </a:xfrm>
                              <a:prstGeom prst="rect">
                                <a:avLst/>
                              </a:prstGeom>
                              <a:noFill/>
                              <a:ln>
                                <a:solidFill>
                                  <a:schemeClr val="accent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3AE62" id="Rectangle 59" o:spid="_x0000_s1026" style="position:absolute;margin-left:147.55pt;margin-top:19.65pt;width:156pt;height:86.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" filled="f" strokecolor="#c0504d [3205]" strokeweight="2pt">
                      <v:stroke dashstyle="dash"/>
                    </v:rect>
                  </w:pict>
                </mc:Fallback>
              </mc:AlternateContent>
            </w:r>
            <w:r w:rsidRPr="008B3CA8">
              <w:rPr>
                <w:rFonts w:asciiTheme="minorHAnsi" w:hAnsiTheme="minorHAnsi"/>
                <w:szCs w:val="18"/>
              </w:rPr>
              <w:t>Pico and Micro Grids</w:t>
            </w:r>
          </w:p>
        </w:tc>
        <w:tc>
          <w:tcPr>
            <w:tcW w:w="2977" w:type="dxa"/>
            <w:shd w:val="clear" w:color="auto" w:fill="F2DBDB" w:themeFill="accent2" w:themeFillTint="33"/>
          </w:tcPr>
          <w:p w14:paraId="16D28038" w14:textId="77777777" w:rsidR="00F045B6" w:rsidRPr="008B3CA8" w:rsidRDefault="00F045B6" w:rsidP="00AB0A44">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8B3CA8">
              <w:rPr>
                <w:rFonts w:asciiTheme="minorHAnsi" w:hAnsiTheme="minorHAnsi"/>
                <w:szCs w:val="18"/>
              </w:rPr>
              <w:t>Mini Grids</w:t>
            </w:r>
          </w:p>
        </w:tc>
        <w:tc>
          <w:tcPr>
            <w:tcW w:w="1843" w:type="dxa"/>
            <w:gridSpan w:val="2"/>
            <w:shd w:val="clear" w:color="auto" w:fill="F2DBDB" w:themeFill="accent2" w:themeFillTint="33"/>
          </w:tcPr>
          <w:p w14:paraId="248DADB3" w14:textId="77777777" w:rsidR="00F045B6" w:rsidRPr="008B3CA8" w:rsidRDefault="00F045B6" w:rsidP="00AB0A44">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8B3CA8">
              <w:rPr>
                <w:rFonts w:asciiTheme="minorHAnsi" w:hAnsiTheme="minorHAnsi"/>
                <w:szCs w:val="18"/>
              </w:rPr>
              <w:t>Solar Home</w:t>
            </w:r>
            <w:r>
              <w:rPr>
                <w:rFonts w:asciiTheme="minorHAnsi" w:hAnsiTheme="minorHAnsi"/>
                <w:szCs w:val="18"/>
              </w:rPr>
              <w:t xml:space="preserve"> L</w:t>
            </w:r>
            <w:r w:rsidRPr="008B3CA8">
              <w:rPr>
                <w:rFonts w:asciiTheme="minorHAnsi" w:hAnsiTheme="minorHAnsi"/>
                <w:szCs w:val="18"/>
              </w:rPr>
              <w:t>ighting Systems</w:t>
            </w:r>
          </w:p>
        </w:tc>
        <w:tc>
          <w:tcPr>
            <w:tcW w:w="1417" w:type="dxa"/>
            <w:shd w:val="clear" w:color="auto" w:fill="F2DBDB" w:themeFill="accent2" w:themeFillTint="33"/>
          </w:tcPr>
          <w:p w14:paraId="6A4D7F32" w14:textId="77777777" w:rsidR="00F045B6" w:rsidRPr="008B3CA8" w:rsidRDefault="00F045B6" w:rsidP="00AB0A44">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8B3CA8">
              <w:rPr>
                <w:rFonts w:asciiTheme="minorHAnsi" w:hAnsiTheme="minorHAnsi"/>
                <w:szCs w:val="18"/>
              </w:rPr>
              <w:t>Solar Pumping</w:t>
            </w:r>
          </w:p>
        </w:tc>
      </w:tr>
      <w:tr w:rsidR="00F045B6" w:rsidRPr="008B3CA8" w14:paraId="36815816" w14:textId="77777777" w:rsidTr="00AB0A44">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tcPr>
          <w:p w14:paraId="68AEBDE8" w14:textId="77777777" w:rsidR="00F045B6" w:rsidRPr="00834AE4" w:rsidRDefault="00F045B6" w:rsidP="00AB0A44">
            <w:pPr>
              <w:rPr>
                <w:rFonts w:asciiTheme="minorHAnsi" w:hAnsiTheme="minorHAnsi"/>
                <w:szCs w:val="18"/>
              </w:rPr>
            </w:pPr>
            <w:r w:rsidRPr="00834AE4">
              <w:rPr>
                <w:rFonts w:asciiTheme="minorHAnsi" w:hAnsiTheme="minorHAnsi"/>
                <w:szCs w:val="18"/>
              </w:rPr>
              <w:t>Risk of grid expansion</w:t>
            </w:r>
          </w:p>
        </w:tc>
        <w:tc>
          <w:tcPr>
            <w:tcW w:w="3118" w:type="dxa"/>
            <w:shd w:val="clear" w:color="auto" w:fill="FFFFFF" w:themeFill="background1"/>
          </w:tcPr>
          <w:p w14:paraId="12B866E5" w14:textId="77777777" w:rsidR="00F045B6" w:rsidRDefault="00F045B6" w:rsidP="00AB0A4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Cs w:val="18"/>
              </w:rPr>
            </w:pPr>
            <w:r w:rsidRPr="008B3CA8">
              <w:rPr>
                <w:rFonts w:asciiTheme="minorHAnsi" w:hAnsiTheme="minorHAnsi"/>
                <w:color w:val="000000" w:themeColor="text1"/>
                <w:szCs w:val="18"/>
              </w:rPr>
              <w:t>Most of these installations are coming up in un-electrified hamlets of 30 – 50 HHs each, which can be on the periphery of electrified villages or be in rural remote areas. Therefore, it is unlikely that grid will be extended to these hamlets, considering the cost involved with the same. Moreover, the assets have a relatively shorter payback period and are easier to repossess and re-deploy (as compared to mini-grids)</w:t>
            </w:r>
          </w:p>
          <w:p w14:paraId="64C6A8DA" w14:textId="77777777" w:rsidR="00F045B6" w:rsidRPr="008B3CA8" w:rsidRDefault="00F045B6" w:rsidP="00AB0A4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color w:val="000000" w:themeColor="text1"/>
                <w:szCs w:val="18"/>
              </w:rPr>
            </w:pPr>
            <w:r w:rsidRPr="008B3CA8">
              <w:rPr>
                <w:rFonts w:asciiTheme="minorHAnsi" w:hAnsiTheme="minorHAnsi"/>
                <w:b/>
                <w:color w:val="000000" w:themeColor="text1"/>
                <w:szCs w:val="18"/>
              </w:rPr>
              <w:t>Risk: Medium</w:t>
            </w:r>
          </w:p>
        </w:tc>
        <w:tc>
          <w:tcPr>
            <w:tcW w:w="2977" w:type="dxa"/>
            <w:shd w:val="clear" w:color="auto" w:fill="FFFFFF" w:themeFill="background1"/>
          </w:tcPr>
          <w:p w14:paraId="3448AD2E" w14:textId="77777777" w:rsidR="00F045B6" w:rsidRPr="008B3CA8" w:rsidRDefault="00F045B6" w:rsidP="00AB0A4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Cs w:val="18"/>
              </w:rPr>
            </w:pPr>
            <w:r w:rsidRPr="008B3CA8">
              <w:rPr>
                <w:rFonts w:asciiTheme="minorHAnsi" w:hAnsiTheme="minorHAnsi"/>
                <w:color w:val="000000" w:themeColor="text1"/>
                <w:szCs w:val="18"/>
              </w:rPr>
              <w:t>The risk of grid expansion is most prevalent in this business segment.</w:t>
            </w:r>
            <w:r>
              <w:rPr>
                <w:rFonts w:asciiTheme="minorHAnsi" w:hAnsiTheme="minorHAnsi"/>
                <w:color w:val="000000" w:themeColor="text1"/>
                <w:szCs w:val="18"/>
              </w:rPr>
              <w:t xml:space="preserve"> </w:t>
            </w:r>
          </w:p>
          <w:p w14:paraId="63288C75" w14:textId="77777777" w:rsidR="00F045B6" w:rsidRPr="008B3CA8" w:rsidRDefault="00F045B6" w:rsidP="00AB0A4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Cs w:val="18"/>
              </w:rPr>
            </w:pPr>
            <w:r w:rsidRPr="008B3CA8">
              <w:rPr>
                <w:rFonts w:asciiTheme="minorHAnsi" w:hAnsiTheme="minorHAnsi"/>
                <w:color w:val="000000" w:themeColor="text1"/>
                <w:szCs w:val="18"/>
              </w:rPr>
              <w:t xml:space="preserve">The only way to mitigate the risk in the current scenario is to operate under policy compliant models / villages. </w:t>
            </w:r>
          </w:p>
          <w:p w14:paraId="25A16109" w14:textId="77777777" w:rsidR="00F045B6" w:rsidRDefault="00F045B6" w:rsidP="00AB0A4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Cs w:val="18"/>
              </w:rPr>
            </w:pPr>
          </w:p>
          <w:p w14:paraId="3B146BC3" w14:textId="77777777" w:rsidR="00F045B6" w:rsidRDefault="00F045B6" w:rsidP="00AB0A4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Cs w:val="18"/>
              </w:rPr>
            </w:pPr>
          </w:p>
          <w:p w14:paraId="1976FB59" w14:textId="77777777" w:rsidR="00F045B6" w:rsidRDefault="00F045B6" w:rsidP="00AB0A4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Cs w:val="18"/>
              </w:rPr>
            </w:pPr>
          </w:p>
          <w:p w14:paraId="04954134" w14:textId="77777777" w:rsidR="00F045B6" w:rsidRDefault="00F045B6" w:rsidP="00AB0A4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Cs w:val="18"/>
              </w:rPr>
            </w:pPr>
          </w:p>
          <w:p w14:paraId="462E4E28" w14:textId="77777777" w:rsidR="00F045B6" w:rsidRDefault="00F045B6" w:rsidP="00AB0A4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Cs w:val="18"/>
              </w:rPr>
            </w:pPr>
          </w:p>
          <w:p w14:paraId="7979266D" w14:textId="77777777" w:rsidR="00F045B6" w:rsidRPr="008B3CA8" w:rsidRDefault="00F045B6" w:rsidP="00AB0A4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color w:val="000000" w:themeColor="text1"/>
                <w:szCs w:val="18"/>
              </w:rPr>
            </w:pPr>
            <w:r w:rsidRPr="008B3CA8">
              <w:rPr>
                <w:rFonts w:asciiTheme="minorHAnsi" w:hAnsiTheme="minorHAnsi"/>
                <w:b/>
                <w:color w:val="000000" w:themeColor="text1"/>
                <w:szCs w:val="18"/>
              </w:rPr>
              <w:t>Risk: High</w:t>
            </w:r>
          </w:p>
        </w:tc>
        <w:tc>
          <w:tcPr>
            <w:tcW w:w="3260" w:type="dxa"/>
            <w:gridSpan w:val="3"/>
            <w:shd w:val="clear" w:color="auto" w:fill="FFFFFF" w:themeFill="background1"/>
          </w:tcPr>
          <w:p w14:paraId="37C411E5" w14:textId="77777777" w:rsidR="00F045B6" w:rsidRPr="008B3CA8" w:rsidRDefault="00F045B6" w:rsidP="00AB0A4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Cs w:val="18"/>
              </w:rPr>
            </w:pPr>
            <w:r w:rsidRPr="008B3CA8">
              <w:rPr>
                <w:rFonts w:asciiTheme="minorHAnsi" w:hAnsiTheme="minorHAnsi"/>
                <w:color w:val="000000" w:themeColor="text1"/>
                <w:szCs w:val="18"/>
              </w:rPr>
              <w:t>Not applicable as the systems are sold as a product and not a service.</w:t>
            </w:r>
          </w:p>
          <w:p w14:paraId="77EF400D" w14:textId="77777777" w:rsidR="00F045B6" w:rsidRDefault="00F045B6" w:rsidP="00AB0A4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Cs w:val="18"/>
              </w:rPr>
            </w:pPr>
            <w:r w:rsidRPr="008B3CA8">
              <w:rPr>
                <w:rFonts w:asciiTheme="minorHAnsi" w:hAnsiTheme="minorHAnsi"/>
                <w:color w:val="000000" w:themeColor="text1"/>
                <w:szCs w:val="18"/>
              </w:rPr>
              <w:t>N.A.</w:t>
            </w:r>
          </w:p>
          <w:p w14:paraId="307925F7" w14:textId="77777777" w:rsidR="00F045B6" w:rsidRDefault="00F045B6" w:rsidP="00AB0A4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Cs w:val="18"/>
              </w:rPr>
            </w:pPr>
          </w:p>
          <w:p w14:paraId="32B2364B" w14:textId="77777777" w:rsidR="00F045B6" w:rsidRDefault="00F045B6" w:rsidP="00AB0A4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Cs w:val="18"/>
              </w:rPr>
            </w:pPr>
          </w:p>
          <w:p w14:paraId="79D9B29C" w14:textId="77777777" w:rsidR="00F045B6" w:rsidRDefault="00F045B6" w:rsidP="00AB0A4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Cs w:val="18"/>
              </w:rPr>
            </w:pPr>
          </w:p>
          <w:p w14:paraId="2FA602EF" w14:textId="77777777" w:rsidR="00F045B6" w:rsidRDefault="00F045B6" w:rsidP="00AB0A4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Cs w:val="18"/>
              </w:rPr>
            </w:pPr>
          </w:p>
          <w:p w14:paraId="0ECB52D5" w14:textId="77777777" w:rsidR="00F045B6" w:rsidRDefault="00F045B6" w:rsidP="00AB0A4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Cs w:val="18"/>
              </w:rPr>
            </w:pPr>
          </w:p>
          <w:p w14:paraId="29357E36" w14:textId="77777777" w:rsidR="00F045B6" w:rsidRDefault="00F045B6" w:rsidP="00AB0A4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Cs w:val="18"/>
              </w:rPr>
            </w:pPr>
          </w:p>
          <w:p w14:paraId="0437A660" w14:textId="77777777" w:rsidR="00F045B6" w:rsidRDefault="00F045B6" w:rsidP="00AB0A4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Cs w:val="18"/>
              </w:rPr>
            </w:pPr>
          </w:p>
          <w:p w14:paraId="3A99A9AB" w14:textId="77777777" w:rsidR="00F045B6" w:rsidRDefault="00F045B6" w:rsidP="00AB0A44">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Cs w:val="18"/>
              </w:rPr>
            </w:pPr>
          </w:p>
          <w:p w14:paraId="340ECAA8" w14:textId="77777777" w:rsidR="00F045B6" w:rsidRPr="008B3CA8" w:rsidRDefault="00F045B6" w:rsidP="00AB0A4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Cs w:val="18"/>
              </w:rPr>
            </w:pPr>
            <w:r>
              <w:rPr>
                <w:rFonts w:asciiTheme="minorHAnsi" w:hAnsiTheme="minorHAnsi"/>
                <w:b/>
                <w:color w:val="000000" w:themeColor="text1"/>
                <w:szCs w:val="18"/>
              </w:rPr>
              <w:t>Risk: Low</w:t>
            </w:r>
          </w:p>
        </w:tc>
      </w:tr>
      <w:tr w:rsidR="00F045B6" w:rsidRPr="008B3CA8" w14:paraId="2CE5BEB7" w14:textId="77777777" w:rsidTr="00AB0A44">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tcPr>
          <w:p w14:paraId="1B1D21A8" w14:textId="77777777" w:rsidR="00F045B6" w:rsidRPr="00834AE4" w:rsidRDefault="00F045B6" w:rsidP="00AB0A44">
            <w:pPr>
              <w:rPr>
                <w:rFonts w:asciiTheme="minorHAnsi" w:hAnsiTheme="minorHAnsi"/>
                <w:szCs w:val="18"/>
              </w:rPr>
            </w:pPr>
            <w:r w:rsidRPr="00834AE4">
              <w:rPr>
                <w:rFonts w:asciiTheme="minorHAnsi" w:hAnsiTheme="minorHAnsi"/>
                <w:szCs w:val="18"/>
              </w:rPr>
              <w:t>Financial Risk</w:t>
            </w:r>
          </w:p>
        </w:tc>
        <w:tc>
          <w:tcPr>
            <w:tcW w:w="3118" w:type="dxa"/>
            <w:shd w:val="clear" w:color="auto" w:fill="FFFFFF" w:themeFill="background1"/>
          </w:tcPr>
          <w:p w14:paraId="47A0DF74" w14:textId="77777777" w:rsidR="00F045B6" w:rsidRDefault="00F045B6" w:rsidP="00AB0A44">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noProof/>
                <w:color w:val="000000" w:themeColor="text1"/>
                <w:szCs w:val="18"/>
                <w:lang w:val="en-GB" w:eastAsia="en-GB"/>
              </w:rPr>
              <mc:AlternateContent>
                <mc:Choice Requires="wps">
                  <w:drawing>
                    <wp:anchor distT="0" distB="0" distL="114300" distR="114300" simplePos="0" relativeHeight="251912192" behindDoc="0" locked="0" layoutInCell="1" allowOverlap="1" wp14:anchorId="498CDF55" wp14:editId="3C60A0E9">
                      <wp:simplePos x="0" y="0"/>
                      <wp:positionH relativeFrom="column">
                        <wp:posOffset>1823085</wp:posOffset>
                      </wp:positionH>
                      <wp:positionV relativeFrom="paragraph">
                        <wp:posOffset>-8255</wp:posOffset>
                      </wp:positionV>
                      <wp:extent cx="2032000" cy="1428750"/>
                      <wp:effectExtent l="0" t="0" r="25400" b="19050"/>
                      <wp:wrapNone/>
                      <wp:docPr id="491" name="Rectangle 491"/>
                      <wp:cNvGraphicFramePr/>
                      <a:graphic xmlns:a="http://schemas.openxmlformats.org/drawingml/2006/main">
                        <a:graphicData uri="http://schemas.microsoft.com/office/word/2010/wordprocessingShape">
                          <wps:wsp>
                            <wps:cNvSpPr/>
                            <wps:spPr>
                              <a:xfrm>
                                <a:off x="0" y="0"/>
                                <a:ext cx="2032000" cy="1428750"/>
                              </a:xfrm>
                              <a:prstGeom prst="rect">
                                <a:avLst/>
                              </a:prstGeom>
                              <a:noFill/>
                              <a:ln>
                                <a:solidFill>
                                  <a:schemeClr val="accent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CA95D" id="Rectangle 491" o:spid="_x0000_s1026" style="position:absolute;margin-left:143.55pt;margin-top:-.65pt;width:160pt;height:11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" filled="f" strokecolor="#c0504d [3205]" strokeweight="2pt">
                      <v:stroke dashstyle="dash"/>
                    </v:rect>
                  </w:pict>
                </mc:Fallback>
              </mc:AlternateContent>
            </w:r>
            <w:r w:rsidRPr="008B3CA8">
              <w:rPr>
                <w:rFonts w:asciiTheme="minorHAnsi" w:hAnsiTheme="minorHAnsi"/>
                <w:szCs w:val="18"/>
              </w:rPr>
              <w:t>These are non-subsidy based with relatively short payback of under 3 years. The key challenge is potential disruption from Grid supply. Given that most of the investment is in movable asset (since distribution is extremely simply undertaken), assets have the ability to be redeployed. .</w:t>
            </w:r>
          </w:p>
          <w:p w14:paraId="01A9528A" w14:textId="77777777" w:rsidR="00F045B6" w:rsidRDefault="00F045B6" w:rsidP="00AB0A44">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p w14:paraId="57D0331A" w14:textId="77777777" w:rsidR="00F045B6" w:rsidRDefault="00F045B6" w:rsidP="00AB0A44">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p w14:paraId="69454469" w14:textId="77777777" w:rsidR="00F045B6" w:rsidRDefault="00F045B6" w:rsidP="00AB0A44">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p w14:paraId="215E5EE4" w14:textId="77777777" w:rsidR="00F045B6" w:rsidRDefault="00F045B6" w:rsidP="00AB0A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18"/>
              </w:rPr>
            </w:pPr>
          </w:p>
          <w:p w14:paraId="3C6B1623" w14:textId="77777777" w:rsidR="00F045B6" w:rsidRPr="008B3CA8" w:rsidRDefault="00F045B6" w:rsidP="00AB0A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18"/>
              </w:rPr>
            </w:pPr>
            <w:r w:rsidRPr="008B3CA8">
              <w:rPr>
                <w:rFonts w:asciiTheme="minorHAnsi" w:hAnsiTheme="minorHAnsi"/>
                <w:b/>
                <w:szCs w:val="18"/>
              </w:rPr>
              <w:t>Risk: Medium</w:t>
            </w:r>
          </w:p>
        </w:tc>
        <w:tc>
          <w:tcPr>
            <w:tcW w:w="2977" w:type="dxa"/>
            <w:shd w:val="clear" w:color="auto" w:fill="FFFFFF" w:themeFill="background1"/>
          </w:tcPr>
          <w:p w14:paraId="733D173A" w14:textId="77777777" w:rsidR="00F045B6" w:rsidRPr="008B3CA8" w:rsidRDefault="00F045B6" w:rsidP="00AB0A44">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8B3CA8">
              <w:rPr>
                <w:rFonts w:asciiTheme="minorHAnsi" w:hAnsiTheme="minorHAnsi"/>
                <w:szCs w:val="18"/>
              </w:rPr>
              <w:t xml:space="preserve">These projects are also dependent on Government subsidy component hence it is imperative that such funds are timely accessed. Projects have long pay back periods due to high initial investment and lack to ability to earn very high returns. </w:t>
            </w:r>
          </w:p>
          <w:p w14:paraId="09B0F619" w14:textId="77777777" w:rsidR="00F045B6" w:rsidRDefault="00F045B6" w:rsidP="00AB0A44">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8B3CA8">
              <w:rPr>
                <w:rFonts w:asciiTheme="minorHAnsi" w:hAnsiTheme="minorHAnsi"/>
                <w:szCs w:val="18"/>
              </w:rPr>
              <w:t xml:space="preserve">In case of Grid based disruption, almost </w:t>
            </w:r>
            <w:proofErr w:type="spellStart"/>
            <w:r w:rsidRPr="008B3CA8">
              <w:rPr>
                <w:rFonts w:asciiTheme="minorHAnsi" w:hAnsiTheme="minorHAnsi"/>
                <w:szCs w:val="18"/>
              </w:rPr>
              <w:t>upto</w:t>
            </w:r>
            <w:proofErr w:type="spellEnd"/>
            <w:r w:rsidRPr="008B3CA8">
              <w:rPr>
                <w:rFonts w:asciiTheme="minorHAnsi" w:hAnsiTheme="minorHAnsi"/>
                <w:szCs w:val="18"/>
              </w:rPr>
              <w:t xml:space="preserve"> 20% of the investment is not recoverable.</w:t>
            </w:r>
          </w:p>
          <w:p w14:paraId="64DDD174" w14:textId="77777777" w:rsidR="00F045B6" w:rsidRDefault="00F045B6" w:rsidP="00AB0A44">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p w14:paraId="2CB94E12" w14:textId="77777777" w:rsidR="00F045B6" w:rsidRDefault="00F045B6" w:rsidP="00AB0A44">
            <w:pPr>
              <w:cnfStyle w:val="000000100000" w:firstRow="0" w:lastRow="0" w:firstColumn="0" w:lastColumn="0" w:oddVBand="0" w:evenVBand="0" w:oddHBand="1" w:evenHBand="0" w:firstRowFirstColumn="0" w:firstRowLastColumn="0" w:lastRowFirstColumn="0" w:lastRowLastColumn="0"/>
              <w:rPr>
                <w:rFonts w:asciiTheme="minorHAnsi" w:hAnsiTheme="minorHAnsi"/>
                <w:b/>
                <w:szCs w:val="18"/>
              </w:rPr>
            </w:pPr>
          </w:p>
          <w:p w14:paraId="5BF4D6D6" w14:textId="77777777" w:rsidR="00F045B6" w:rsidRPr="008B3CA8" w:rsidRDefault="00F045B6" w:rsidP="00AB0A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18"/>
              </w:rPr>
            </w:pPr>
            <w:r w:rsidRPr="008B3CA8">
              <w:rPr>
                <w:rFonts w:asciiTheme="minorHAnsi" w:hAnsiTheme="minorHAnsi"/>
                <w:b/>
                <w:szCs w:val="18"/>
              </w:rPr>
              <w:t>Risk: High</w:t>
            </w:r>
          </w:p>
        </w:tc>
        <w:tc>
          <w:tcPr>
            <w:tcW w:w="1701" w:type="dxa"/>
            <w:shd w:val="clear" w:color="auto" w:fill="FFFFFF" w:themeFill="background1"/>
          </w:tcPr>
          <w:p w14:paraId="5AE2C8D3" w14:textId="77777777" w:rsidR="00F045B6" w:rsidRDefault="00F045B6" w:rsidP="00AB0A44">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8B3CA8">
              <w:rPr>
                <w:rFonts w:asciiTheme="minorHAnsi" w:hAnsiTheme="minorHAnsi"/>
                <w:szCs w:val="18"/>
              </w:rPr>
              <w:t xml:space="preserve">These have </w:t>
            </w:r>
            <w:r>
              <w:rPr>
                <w:rFonts w:asciiTheme="minorHAnsi" w:hAnsiTheme="minorHAnsi"/>
                <w:szCs w:val="18"/>
              </w:rPr>
              <w:t>a significant subsidy component</w:t>
            </w:r>
            <w:r w:rsidRPr="008B3CA8">
              <w:rPr>
                <w:rFonts w:asciiTheme="minorHAnsi" w:hAnsiTheme="minorHAnsi"/>
                <w:szCs w:val="18"/>
              </w:rPr>
              <w:t xml:space="preserve"> and hence Government allocations can alter the extent of credit that the company need</w:t>
            </w:r>
            <w:r>
              <w:rPr>
                <w:rFonts w:asciiTheme="minorHAnsi" w:hAnsiTheme="minorHAnsi"/>
                <w:szCs w:val="18"/>
              </w:rPr>
              <w:t xml:space="preserve">s to provide or provision for. </w:t>
            </w:r>
          </w:p>
          <w:p w14:paraId="493F34DF" w14:textId="77777777" w:rsidR="00F045B6" w:rsidRDefault="00F045B6" w:rsidP="00AB0A44">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p w14:paraId="18DC3045" w14:textId="77777777" w:rsidR="00F045B6" w:rsidRDefault="00F045B6" w:rsidP="00AB0A44">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p w14:paraId="52349810" w14:textId="77777777" w:rsidR="00F045B6" w:rsidRDefault="00F045B6" w:rsidP="00AB0A44">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p w14:paraId="46BA8537" w14:textId="77777777" w:rsidR="00F045B6" w:rsidRPr="008B3CA8" w:rsidRDefault="00F045B6" w:rsidP="00AB0A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18"/>
              </w:rPr>
            </w:pPr>
            <w:r w:rsidRPr="008B3CA8">
              <w:rPr>
                <w:rFonts w:asciiTheme="minorHAnsi" w:hAnsiTheme="minorHAnsi"/>
                <w:b/>
                <w:szCs w:val="18"/>
              </w:rPr>
              <w:t>Risk: Medium</w:t>
            </w:r>
          </w:p>
        </w:tc>
        <w:tc>
          <w:tcPr>
            <w:tcW w:w="1559" w:type="dxa"/>
            <w:gridSpan w:val="2"/>
            <w:shd w:val="clear" w:color="auto" w:fill="FFFFFF" w:themeFill="background1"/>
          </w:tcPr>
          <w:p w14:paraId="7C955BEE" w14:textId="77777777" w:rsidR="00F045B6" w:rsidRDefault="00F045B6" w:rsidP="00AB0A44">
            <w:pP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8B3CA8">
              <w:rPr>
                <w:rFonts w:asciiTheme="minorHAnsi" w:hAnsiTheme="minorHAnsi"/>
                <w:szCs w:val="18"/>
              </w:rPr>
              <w:t>Have by and large been deployed und</w:t>
            </w:r>
            <w:r>
              <w:rPr>
                <w:rFonts w:asciiTheme="minorHAnsi" w:hAnsiTheme="minorHAnsi"/>
                <w:szCs w:val="18"/>
              </w:rPr>
              <w:t xml:space="preserve">er Government Tendering schemes and </w:t>
            </w:r>
            <w:r w:rsidRPr="008B3CA8">
              <w:rPr>
                <w:rFonts w:asciiTheme="minorHAnsi" w:hAnsiTheme="minorHAnsi"/>
                <w:szCs w:val="18"/>
              </w:rPr>
              <w:t xml:space="preserve">private sector initiatives necessitate risk coverage on bankability of farmers. </w:t>
            </w:r>
          </w:p>
          <w:p w14:paraId="08F4A835" w14:textId="77777777" w:rsidR="00F045B6" w:rsidRPr="008B3CA8" w:rsidRDefault="00F045B6" w:rsidP="00AB0A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18"/>
              </w:rPr>
            </w:pPr>
            <w:r w:rsidRPr="008B3CA8">
              <w:rPr>
                <w:rFonts w:asciiTheme="minorHAnsi" w:hAnsiTheme="minorHAnsi"/>
                <w:b/>
                <w:szCs w:val="18"/>
              </w:rPr>
              <w:t>Risk: Medium</w:t>
            </w:r>
          </w:p>
        </w:tc>
      </w:tr>
      <w:tr w:rsidR="00F045B6" w:rsidRPr="008B3CA8" w14:paraId="3BCADE3F" w14:textId="77777777" w:rsidTr="00F75D30">
        <w:trPr>
          <w:cnfStyle w:val="000000010000" w:firstRow="0" w:lastRow="0" w:firstColumn="0" w:lastColumn="0" w:oddVBand="0" w:evenVBand="0" w:oddHBand="0" w:evenHBand="1" w:firstRowFirstColumn="0" w:firstRowLastColumn="0" w:lastRowFirstColumn="0" w:lastRowLastColumn="0"/>
          <w:trHeight w:val="2182"/>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tcPr>
          <w:p w14:paraId="04D23492" w14:textId="77777777" w:rsidR="00F045B6" w:rsidRPr="00834AE4" w:rsidRDefault="00F045B6" w:rsidP="00AB0A44">
            <w:pPr>
              <w:rPr>
                <w:rFonts w:asciiTheme="minorHAnsi" w:hAnsiTheme="minorHAnsi"/>
                <w:b w:val="0"/>
                <w:szCs w:val="18"/>
              </w:rPr>
            </w:pPr>
            <w:r w:rsidRPr="00834AE4">
              <w:rPr>
                <w:rFonts w:asciiTheme="minorHAnsi" w:eastAsia="Calibri" w:hAnsiTheme="minorHAnsi"/>
                <w:szCs w:val="18"/>
              </w:rPr>
              <w:t>Bankability of Cash Flows / End Consumers</w:t>
            </w:r>
          </w:p>
        </w:tc>
        <w:tc>
          <w:tcPr>
            <w:tcW w:w="3118" w:type="dxa"/>
            <w:shd w:val="clear" w:color="auto" w:fill="FFFFFF" w:themeFill="background1"/>
          </w:tcPr>
          <w:p w14:paraId="0F378076" w14:textId="77777777" w:rsidR="00F045B6" w:rsidRPr="008B3CA8" w:rsidRDefault="00F045B6" w:rsidP="00AB0A4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8B3CA8">
              <w:rPr>
                <w:rFonts w:asciiTheme="minorHAnsi" w:hAnsiTheme="minorHAnsi"/>
                <w:szCs w:val="18"/>
              </w:rPr>
              <w:t>Although the end consumer is the least bankable in this business segment, it is potentially possible to repossess and redeploy this asset. Bankability of end customers /rural users makes these investments more challenging for FIs.</w:t>
            </w:r>
          </w:p>
          <w:p w14:paraId="5F47E3EA" w14:textId="77777777" w:rsidR="00F045B6" w:rsidRDefault="00F045B6" w:rsidP="00AB0A4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8B3CA8">
              <w:rPr>
                <w:rFonts w:asciiTheme="minorHAnsi" w:hAnsiTheme="minorHAnsi"/>
                <w:szCs w:val="18"/>
              </w:rPr>
              <w:t>Last mile collection systems need to be robust to ensure high payments</w:t>
            </w:r>
          </w:p>
          <w:p w14:paraId="5ACEEBAC" w14:textId="77777777" w:rsidR="00F045B6" w:rsidRDefault="00F045B6" w:rsidP="00AB0A44">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p w14:paraId="4F33FB94" w14:textId="77777777" w:rsidR="00F045B6" w:rsidRPr="008B3CA8" w:rsidRDefault="00F045B6" w:rsidP="00AB0A4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8B3CA8">
              <w:rPr>
                <w:rFonts w:asciiTheme="minorHAnsi" w:hAnsiTheme="minorHAnsi"/>
                <w:b/>
                <w:szCs w:val="18"/>
              </w:rPr>
              <w:t>Risk: Medium</w:t>
            </w:r>
          </w:p>
        </w:tc>
        <w:tc>
          <w:tcPr>
            <w:tcW w:w="2977" w:type="dxa"/>
            <w:shd w:val="clear" w:color="auto" w:fill="FFFFFF" w:themeFill="background1"/>
          </w:tcPr>
          <w:p w14:paraId="18472B4B" w14:textId="77777777" w:rsidR="00F045B6" w:rsidRDefault="00F045B6" w:rsidP="00AB0A44">
            <w:pP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8B3CA8">
              <w:rPr>
                <w:rFonts w:asciiTheme="minorHAnsi" w:hAnsiTheme="minorHAnsi"/>
                <w:szCs w:val="18"/>
              </w:rPr>
              <w:t xml:space="preserve">Bankability of the rural end consumer is a challenge – therefore, the most business models that are emerging have a certain percentage of institutional revenue coming from bankable entities such as </w:t>
            </w:r>
            <w:proofErr w:type="spellStart"/>
            <w:r w:rsidRPr="008B3CA8">
              <w:rPr>
                <w:rFonts w:asciiTheme="minorHAnsi" w:hAnsiTheme="minorHAnsi"/>
                <w:szCs w:val="18"/>
              </w:rPr>
              <w:t>telcos</w:t>
            </w:r>
            <w:proofErr w:type="spellEnd"/>
            <w:r w:rsidRPr="008B3CA8">
              <w:rPr>
                <w:rFonts w:asciiTheme="minorHAnsi" w:hAnsiTheme="minorHAnsi"/>
                <w:szCs w:val="18"/>
              </w:rPr>
              <w:t>, gas stations, banks etc.</w:t>
            </w:r>
          </w:p>
          <w:p w14:paraId="7D549D81" w14:textId="77777777" w:rsidR="00F045B6" w:rsidRDefault="00F045B6" w:rsidP="00AB0A44">
            <w:pP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p w14:paraId="45F81629" w14:textId="77777777" w:rsidR="00F045B6" w:rsidRDefault="00F045B6" w:rsidP="00AB0A44">
            <w:pP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p w14:paraId="5976F743" w14:textId="77777777" w:rsidR="00F045B6" w:rsidRPr="008B3CA8" w:rsidRDefault="00F045B6" w:rsidP="00AB0A4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8B3CA8">
              <w:rPr>
                <w:rFonts w:asciiTheme="minorHAnsi" w:hAnsiTheme="minorHAnsi"/>
                <w:b/>
                <w:szCs w:val="18"/>
              </w:rPr>
              <w:t>Risk: Medium</w:t>
            </w:r>
          </w:p>
        </w:tc>
        <w:tc>
          <w:tcPr>
            <w:tcW w:w="3260" w:type="dxa"/>
            <w:gridSpan w:val="3"/>
            <w:shd w:val="clear" w:color="auto" w:fill="FFFFFF" w:themeFill="background1"/>
          </w:tcPr>
          <w:p w14:paraId="37079677" w14:textId="5A848E88" w:rsidR="00F045B6" w:rsidRDefault="00F045B6" w:rsidP="00AB0A44">
            <w:pP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8B3CA8">
              <w:rPr>
                <w:rFonts w:asciiTheme="minorHAnsi" w:hAnsiTheme="minorHAnsi"/>
                <w:szCs w:val="18"/>
              </w:rPr>
              <w:t xml:space="preserve">Although the equipment is sold as an upfront sale, most ESCOs provide payment options– although there is a risk of default, current data indicates that the defaults are relatively low. </w:t>
            </w:r>
            <w:proofErr w:type="gramStart"/>
            <w:r w:rsidRPr="008B3CA8">
              <w:rPr>
                <w:rFonts w:asciiTheme="minorHAnsi" w:hAnsiTheme="minorHAnsi"/>
                <w:szCs w:val="18"/>
              </w:rPr>
              <w:t>the</w:t>
            </w:r>
            <w:proofErr w:type="gramEnd"/>
            <w:r w:rsidRPr="008B3CA8">
              <w:rPr>
                <w:rFonts w:asciiTheme="minorHAnsi" w:hAnsiTheme="minorHAnsi"/>
                <w:szCs w:val="18"/>
              </w:rPr>
              <w:t xml:space="preserve"> balance principle is typically financed through a MFI. Repayment rates are a function of effectiveness of the MFI on-ground operations</w:t>
            </w:r>
            <w:r>
              <w:rPr>
                <w:rFonts w:asciiTheme="minorHAnsi" w:hAnsiTheme="minorHAnsi"/>
                <w:szCs w:val="18"/>
              </w:rPr>
              <w:t xml:space="preserve">. </w:t>
            </w:r>
          </w:p>
          <w:p w14:paraId="39242C79" w14:textId="77777777" w:rsidR="00F045B6" w:rsidRPr="008B3CA8" w:rsidRDefault="00F045B6" w:rsidP="00AB0A4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8B3CA8">
              <w:rPr>
                <w:rFonts w:asciiTheme="minorHAnsi" w:hAnsiTheme="minorHAnsi"/>
                <w:b/>
                <w:szCs w:val="18"/>
              </w:rPr>
              <w:t>Risk: Medium</w:t>
            </w:r>
          </w:p>
        </w:tc>
      </w:tr>
      <w:tr w:rsidR="00F045B6" w:rsidRPr="008B3CA8" w14:paraId="0EAE0DEC" w14:textId="77777777" w:rsidTr="00AB0A44">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277" w:type="dxa"/>
            <w:shd w:val="clear" w:color="auto" w:fill="FFFFFF" w:themeFill="background1"/>
          </w:tcPr>
          <w:p w14:paraId="70BCEAE1" w14:textId="77777777" w:rsidR="00F045B6" w:rsidRPr="00834AE4" w:rsidRDefault="00F045B6" w:rsidP="00AB0A44">
            <w:pPr>
              <w:rPr>
                <w:rFonts w:asciiTheme="minorHAnsi" w:eastAsia="Calibri" w:hAnsiTheme="minorHAnsi"/>
                <w:szCs w:val="18"/>
              </w:rPr>
            </w:pPr>
            <w:r w:rsidRPr="00834AE4">
              <w:rPr>
                <w:rFonts w:asciiTheme="minorHAnsi" w:eastAsia="Calibri" w:hAnsiTheme="minorHAnsi"/>
                <w:szCs w:val="18"/>
              </w:rPr>
              <w:t>Risk of business continuation</w:t>
            </w:r>
          </w:p>
        </w:tc>
        <w:tc>
          <w:tcPr>
            <w:tcW w:w="9355" w:type="dxa"/>
            <w:gridSpan w:val="5"/>
            <w:shd w:val="clear" w:color="auto" w:fill="FFFFFF" w:themeFill="background1"/>
          </w:tcPr>
          <w:p w14:paraId="1A8BAB55" w14:textId="77777777" w:rsidR="00F045B6" w:rsidRDefault="00F045B6" w:rsidP="00AB0A44">
            <w:pPr>
              <w:cnfStyle w:val="000000100000" w:firstRow="0" w:lastRow="0" w:firstColumn="0" w:lastColumn="0" w:oddVBand="0" w:evenVBand="0" w:oddHBand="1" w:evenHBand="0" w:firstRowFirstColumn="0" w:firstRowLastColumn="0" w:lastRowFirstColumn="0" w:lastRowLastColumn="0"/>
              <w:rPr>
                <w:szCs w:val="18"/>
              </w:rPr>
            </w:pPr>
            <w:r>
              <w:rPr>
                <w:noProof/>
                <w:color w:val="000000" w:themeColor="text1"/>
                <w:szCs w:val="18"/>
                <w:lang w:val="en-GB" w:eastAsia="en-GB"/>
              </w:rPr>
              <mc:AlternateContent>
                <mc:Choice Requires="wps">
                  <w:drawing>
                    <wp:anchor distT="0" distB="0" distL="114300" distR="114300" simplePos="0" relativeHeight="251913216" behindDoc="0" locked="0" layoutInCell="1" allowOverlap="1" wp14:anchorId="6209ED19" wp14:editId="31D9CBD9">
                      <wp:simplePos x="0" y="0"/>
                      <wp:positionH relativeFrom="column">
                        <wp:posOffset>-37465</wp:posOffset>
                      </wp:positionH>
                      <wp:positionV relativeFrom="paragraph">
                        <wp:posOffset>17145</wp:posOffset>
                      </wp:positionV>
                      <wp:extent cx="5962650" cy="495300"/>
                      <wp:effectExtent l="0" t="0" r="19050" b="19050"/>
                      <wp:wrapNone/>
                      <wp:docPr id="493" name="Rectangle 493"/>
                      <wp:cNvGraphicFramePr/>
                      <a:graphic xmlns:a="http://schemas.openxmlformats.org/drawingml/2006/main">
                        <a:graphicData uri="http://schemas.microsoft.com/office/word/2010/wordprocessingShape">
                          <wps:wsp>
                            <wps:cNvSpPr/>
                            <wps:spPr>
                              <a:xfrm>
                                <a:off x="0" y="0"/>
                                <a:ext cx="5962650" cy="495300"/>
                              </a:xfrm>
                              <a:prstGeom prst="rect">
                                <a:avLst/>
                              </a:prstGeom>
                              <a:noFill/>
                              <a:ln>
                                <a:solidFill>
                                  <a:schemeClr val="accent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9818C" id="Rectangle 493" o:spid="_x0000_s1026" style="position:absolute;margin-left:-2.95pt;margin-top:1.35pt;width:469.5pt;height:3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" filled="f" strokecolor="#c0504d [3205]" strokeweight="2pt">
                      <v:stroke dashstyle="dash"/>
                    </v:rect>
                  </w:pict>
                </mc:Fallback>
              </mc:AlternateContent>
            </w:r>
            <w:r>
              <w:rPr>
                <w:szCs w:val="18"/>
              </w:rPr>
              <w:t>As discussed above, the major risk in the business segment, given the nascence of the companies is the continuation of business and its management. This risk is high across business segments, unless companies reach a certain number of installations and years of operations</w:t>
            </w:r>
          </w:p>
          <w:p w14:paraId="7B389D70" w14:textId="77777777" w:rsidR="00F045B6" w:rsidRDefault="00F045B6" w:rsidP="00AB0A44">
            <w:pPr>
              <w:cnfStyle w:val="000000100000" w:firstRow="0" w:lastRow="0" w:firstColumn="0" w:lastColumn="0" w:oddVBand="0" w:evenVBand="0" w:oddHBand="1" w:evenHBand="0" w:firstRowFirstColumn="0" w:firstRowLastColumn="0" w:lastRowFirstColumn="0" w:lastRowLastColumn="0"/>
              <w:rPr>
                <w:szCs w:val="18"/>
              </w:rPr>
            </w:pPr>
          </w:p>
          <w:p w14:paraId="45FCCF6B" w14:textId="77777777" w:rsidR="00F045B6" w:rsidRPr="00834AE4" w:rsidRDefault="00F045B6" w:rsidP="00AB0A44">
            <w:pPr>
              <w:jc w:val="center"/>
              <w:cnfStyle w:val="000000100000" w:firstRow="0" w:lastRow="0" w:firstColumn="0" w:lastColumn="0" w:oddVBand="0" w:evenVBand="0" w:oddHBand="1" w:evenHBand="0" w:firstRowFirstColumn="0" w:firstRowLastColumn="0" w:lastRowFirstColumn="0" w:lastRowLastColumn="0"/>
              <w:rPr>
                <w:b/>
                <w:szCs w:val="18"/>
              </w:rPr>
            </w:pPr>
            <w:r w:rsidRPr="00834AE4">
              <w:rPr>
                <w:b/>
                <w:szCs w:val="18"/>
              </w:rPr>
              <w:t>Risk : High</w:t>
            </w:r>
          </w:p>
        </w:tc>
      </w:tr>
    </w:tbl>
    <w:p w14:paraId="56B9F224" w14:textId="215708F6" w:rsidR="00F045B6" w:rsidRPr="00622EC7" w:rsidRDefault="00F045B6" w:rsidP="00F045B6">
      <w:pPr>
        <w:spacing w:after="0"/>
        <w:rPr>
          <w:b/>
          <w:sz w:val="22"/>
        </w:rPr>
      </w:pPr>
      <w:r w:rsidRPr="00622EC7">
        <w:rPr>
          <w:b/>
          <w:sz w:val="22"/>
        </w:rPr>
        <w:t>As is evident from the aforementioned table</w:t>
      </w:r>
      <w:r w:rsidR="00622EC7">
        <w:rPr>
          <w:b/>
          <w:sz w:val="22"/>
        </w:rPr>
        <w:t>:</w:t>
      </w:r>
    </w:p>
    <w:p w14:paraId="368B4311" w14:textId="17DFC458" w:rsidR="00F045B6" w:rsidRPr="00622EC7" w:rsidRDefault="00D60DAE" w:rsidP="00F045B6">
      <w:pPr>
        <w:pStyle w:val="ListParagraph"/>
        <w:numPr>
          <w:ilvl w:val="0"/>
          <w:numId w:val="11"/>
        </w:numPr>
        <w:ind w:left="426" w:hanging="284"/>
        <w:rPr>
          <w:sz w:val="22"/>
        </w:rPr>
      </w:pPr>
      <w:proofErr w:type="gramStart"/>
      <w:r>
        <w:rPr>
          <w:sz w:val="22"/>
        </w:rPr>
        <w:t>the</w:t>
      </w:r>
      <w:proofErr w:type="gramEnd"/>
      <w:r>
        <w:rPr>
          <w:sz w:val="22"/>
        </w:rPr>
        <w:t xml:space="preserve"> </w:t>
      </w:r>
      <w:r w:rsidR="00F045B6" w:rsidRPr="00622EC7">
        <w:rPr>
          <w:sz w:val="22"/>
        </w:rPr>
        <w:t xml:space="preserve">major risk faced by lenders in these business segments pertain to business disruption with a high likelihood of low to medium recovery, post default. </w:t>
      </w:r>
    </w:p>
    <w:p w14:paraId="4DE4B5FE" w14:textId="70C09E42" w:rsidR="005079FC" w:rsidRPr="00622EC7" w:rsidRDefault="00F045B6" w:rsidP="00F045B6">
      <w:pPr>
        <w:pStyle w:val="ListParagraph"/>
        <w:numPr>
          <w:ilvl w:val="0"/>
          <w:numId w:val="11"/>
        </w:numPr>
        <w:ind w:left="426" w:hanging="284"/>
        <w:rPr>
          <w:sz w:val="22"/>
        </w:rPr>
      </w:pPr>
      <w:r w:rsidRPr="00622EC7">
        <w:rPr>
          <w:sz w:val="22"/>
        </w:rPr>
        <w:t>the second risk to be fenced involves variations in cash</w:t>
      </w:r>
      <w:r w:rsidR="0042493F" w:rsidRPr="00622EC7">
        <w:rPr>
          <w:sz w:val="22"/>
        </w:rPr>
        <w:t>-</w:t>
      </w:r>
      <w:r w:rsidRPr="00622EC7">
        <w:rPr>
          <w:sz w:val="22"/>
        </w:rPr>
        <w:t>flows which are linked to risky “end consumers”, which may result in lumpy cash</w:t>
      </w:r>
      <w:r w:rsidR="0042493F" w:rsidRPr="00622EC7">
        <w:rPr>
          <w:sz w:val="22"/>
        </w:rPr>
        <w:t>-</w:t>
      </w:r>
      <w:r w:rsidRPr="00622EC7">
        <w:rPr>
          <w:sz w:val="22"/>
        </w:rPr>
        <w:t>flows for the business and resultantly delays in loan repayments sporadically</w:t>
      </w:r>
    </w:p>
    <w:p w14:paraId="4E369158" w14:textId="00484B02" w:rsidR="00D60DAE" w:rsidRPr="00D60DAE" w:rsidRDefault="00F75D30" w:rsidP="00F75D30">
      <w:pPr>
        <w:spacing w:after="0" w:line="286" w:lineRule="auto"/>
        <w:rPr>
          <w:sz w:val="22"/>
        </w:rPr>
      </w:pPr>
      <w:r>
        <w:rPr>
          <w:sz w:val="22"/>
        </w:rPr>
        <w:t xml:space="preserve">To address these risks, </w:t>
      </w:r>
      <w:r w:rsidR="00D60DAE" w:rsidRPr="00D60DAE">
        <w:rPr>
          <w:sz w:val="22"/>
        </w:rPr>
        <w:t xml:space="preserve">loan guarantees </w:t>
      </w:r>
      <w:r>
        <w:rPr>
          <w:sz w:val="22"/>
        </w:rPr>
        <w:t xml:space="preserve">and risk insurances </w:t>
      </w:r>
      <w:r w:rsidR="00D60DAE" w:rsidRPr="00D60DAE">
        <w:rPr>
          <w:sz w:val="22"/>
        </w:rPr>
        <w:t xml:space="preserve">can be an important solution to increase lenders participation </w:t>
      </w:r>
      <w:r>
        <w:rPr>
          <w:sz w:val="22"/>
        </w:rPr>
        <w:t xml:space="preserve">in the DRE segment </w:t>
      </w:r>
      <w:r w:rsidR="00D60DAE" w:rsidRPr="00D60DAE">
        <w:rPr>
          <w:sz w:val="22"/>
        </w:rPr>
        <w:t>however they need to be structured flexibly</w:t>
      </w:r>
      <w:r>
        <w:rPr>
          <w:sz w:val="22"/>
        </w:rPr>
        <w:t xml:space="preserve">, specifically: </w:t>
      </w:r>
    </w:p>
    <w:p w14:paraId="2772FE09" w14:textId="33B13407" w:rsidR="00D60DAE" w:rsidRPr="00F75D30" w:rsidRDefault="00F75D30" w:rsidP="00D60DAE">
      <w:pPr>
        <w:pStyle w:val="ListParagraph"/>
        <w:numPr>
          <w:ilvl w:val="0"/>
          <w:numId w:val="11"/>
        </w:numPr>
        <w:ind w:left="426" w:hanging="284"/>
        <w:rPr>
          <w:i/>
          <w:sz w:val="20"/>
        </w:rPr>
      </w:pPr>
      <w:proofErr w:type="gramStart"/>
      <w:r>
        <w:rPr>
          <w:i/>
          <w:sz w:val="20"/>
        </w:rPr>
        <w:t>g</w:t>
      </w:r>
      <w:r w:rsidR="00D60DAE" w:rsidRPr="00F75D30">
        <w:rPr>
          <w:i/>
          <w:sz w:val="20"/>
        </w:rPr>
        <w:t>iven</w:t>
      </w:r>
      <w:proofErr w:type="gramEnd"/>
      <w:r w:rsidR="00D60DAE" w:rsidRPr="00F75D30">
        <w:rPr>
          <w:i/>
          <w:sz w:val="20"/>
        </w:rPr>
        <w:t xml:space="preserve"> the small to modest loan sizes</w:t>
      </w:r>
      <w:r w:rsidRPr="00F75D30">
        <w:rPr>
          <w:i/>
          <w:sz w:val="20"/>
        </w:rPr>
        <w:t xml:space="preserve">, </w:t>
      </w:r>
      <w:r w:rsidR="00D60DAE" w:rsidRPr="00F75D30">
        <w:rPr>
          <w:i/>
          <w:sz w:val="20"/>
        </w:rPr>
        <w:t xml:space="preserve">the guarantee product should be aimed as a portfolio guarantee towards banks and other financial institutions, which are willing and able to </w:t>
      </w:r>
      <w:r w:rsidRPr="00F75D30">
        <w:rPr>
          <w:i/>
          <w:sz w:val="20"/>
        </w:rPr>
        <w:t xml:space="preserve">provide </w:t>
      </w:r>
      <w:r w:rsidR="00D60DAE" w:rsidRPr="00F75D30">
        <w:rPr>
          <w:i/>
          <w:sz w:val="20"/>
        </w:rPr>
        <w:t>debt at the</w:t>
      </w:r>
      <w:r w:rsidRPr="00F75D30">
        <w:rPr>
          <w:i/>
          <w:sz w:val="20"/>
        </w:rPr>
        <w:t xml:space="preserve"> terms needed.</w:t>
      </w:r>
      <w:r w:rsidR="00D60DAE" w:rsidRPr="00F75D30">
        <w:rPr>
          <w:i/>
          <w:sz w:val="20"/>
        </w:rPr>
        <w:t xml:space="preserve"> </w:t>
      </w:r>
    </w:p>
    <w:p w14:paraId="6784A7EB" w14:textId="33EECD7E" w:rsidR="00D60DAE" w:rsidRPr="00F75D30" w:rsidRDefault="00F75D30" w:rsidP="00D60DAE">
      <w:pPr>
        <w:pStyle w:val="ListParagraph"/>
        <w:numPr>
          <w:ilvl w:val="0"/>
          <w:numId w:val="11"/>
        </w:numPr>
        <w:ind w:left="426" w:hanging="284"/>
        <w:rPr>
          <w:i/>
          <w:sz w:val="20"/>
        </w:rPr>
      </w:pPr>
      <w:r>
        <w:rPr>
          <w:i/>
          <w:sz w:val="20"/>
        </w:rPr>
        <w:t>a</w:t>
      </w:r>
      <w:r w:rsidR="00D60DAE" w:rsidRPr="00F75D30">
        <w:rPr>
          <w:i/>
          <w:sz w:val="20"/>
        </w:rPr>
        <w:t>bility to bear the first loss as in most cases, the first loss will either pertain to a few delayed payments vs. complete disruption in business operations leading to scenarios of no visibility on recoveries</w:t>
      </w:r>
    </w:p>
    <w:p w14:paraId="672ABFA8" w14:textId="6B4E2074" w:rsidR="00D60DAE" w:rsidRPr="00F75D30" w:rsidRDefault="00D60DAE" w:rsidP="00D60DAE">
      <w:pPr>
        <w:pStyle w:val="ListParagraph"/>
        <w:numPr>
          <w:ilvl w:val="0"/>
          <w:numId w:val="11"/>
        </w:numPr>
        <w:ind w:left="426" w:hanging="284"/>
        <w:rPr>
          <w:i/>
          <w:sz w:val="20"/>
        </w:rPr>
      </w:pPr>
      <w:proofErr w:type="gramStart"/>
      <w:r w:rsidRPr="00F75D30">
        <w:rPr>
          <w:i/>
          <w:sz w:val="20"/>
        </w:rPr>
        <w:t>ability</w:t>
      </w:r>
      <w:proofErr w:type="gramEnd"/>
      <w:r w:rsidRPr="00F75D30">
        <w:rPr>
          <w:i/>
          <w:sz w:val="20"/>
        </w:rPr>
        <w:t xml:space="preserve"> / right to call in the guarantee before the loan book is written off as an NPAs</w:t>
      </w:r>
      <w:r w:rsidRPr="00F75D30">
        <w:rPr>
          <w:rStyle w:val="FootnoteReference"/>
          <w:i/>
          <w:sz w:val="20"/>
        </w:rPr>
        <w:footnoteReference w:id="3"/>
      </w:r>
      <w:r w:rsidRPr="00F75D30">
        <w:rPr>
          <w:i/>
          <w:sz w:val="20"/>
        </w:rPr>
        <w:t xml:space="preserve">: </w:t>
      </w:r>
      <w:proofErr w:type="spellStart"/>
      <w:r w:rsidRPr="00F75D30">
        <w:rPr>
          <w:i/>
          <w:sz w:val="20"/>
        </w:rPr>
        <w:t>incase</w:t>
      </w:r>
      <w:proofErr w:type="spellEnd"/>
      <w:r w:rsidRPr="00F75D30">
        <w:rPr>
          <w:i/>
          <w:sz w:val="20"/>
        </w:rPr>
        <w:t xml:space="preserve"> of delayed payments, writing the loan book off as NPA will limit the lenders’ ability to restructure the repayments and recoup the loan.</w:t>
      </w:r>
    </w:p>
    <w:p w14:paraId="67091BD1" w14:textId="77777777" w:rsidR="00622EC7" w:rsidRDefault="00622EC7" w:rsidP="006E3039">
      <w:pPr>
        <w:sectPr w:rsidR="00622EC7" w:rsidSect="0042493F">
          <w:pgSz w:w="11907" w:h="16839" w:code="9"/>
          <w:pgMar w:top="720" w:right="720" w:bottom="720" w:left="720" w:header="288" w:footer="0" w:gutter="0"/>
          <w:cols w:space="720"/>
          <w:titlePg/>
          <w:docGrid w:linePitch="360"/>
        </w:sectPr>
      </w:pPr>
    </w:p>
    <w:p w14:paraId="2ED85104" w14:textId="77777777" w:rsidR="00FC3764" w:rsidRDefault="00FC3764" w:rsidP="0076569D">
      <w:pPr>
        <w:pStyle w:val="Heading1"/>
        <w:spacing w:before="120"/>
      </w:pPr>
    </w:p>
    <w:p w14:paraId="4FE8DDA1" w14:textId="77777777" w:rsidR="00622EC7" w:rsidRDefault="00622EC7" w:rsidP="0076569D">
      <w:pPr>
        <w:pStyle w:val="Heading1"/>
        <w:spacing w:before="120"/>
      </w:pPr>
      <w:r>
        <w:t>Outlook on Guarantee Structures</w:t>
      </w:r>
    </w:p>
    <w:p w14:paraId="338B4547" w14:textId="77777777" w:rsidR="00622EC7" w:rsidRPr="00FC3764" w:rsidRDefault="00622EC7" w:rsidP="00622EC7">
      <w:pPr>
        <w:pStyle w:val="ListParagraph"/>
        <w:numPr>
          <w:ilvl w:val="0"/>
          <w:numId w:val="26"/>
        </w:numPr>
        <w:spacing w:after="120" w:line="285" w:lineRule="auto"/>
        <w:rPr>
          <w:color w:val="auto"/>
          <w:sz w:val="22"/>
        </w:rPr>
      </w:pPr>
      <w:r w:rsidRPr="00FC3764">
        <w:rPr>
          <w:color w:val="auto"/>
          <w:sz w:val="22"/>
        </w:rPr>
        <w:t xml:space="preserve">Though Guarantee structure needs to be flexible, it needs to be designed such that it doesn’t end up putting the project in jeopardy in the quest of protecting the lender’s interest. A distinction is to be made between </w:t>
      </w:r>
      <w:proofErr w:type="gramStart"/>
      <w:r w:rsidRPr="00FC3764">
        <w:rPr>
          <w:color w:val="auto"/>
          <w:sz w:val="22"/>
        </w:rPr>
        <w:t>project</w:t>
      </w:r>
      <w:proofErr w:type="gramEnd"/>
      <w:r w:rsidRPr="00FC3764">
        <w:rPr>
          <w:color w:val="auto"/>
          <w:sz w:val="22"/>
        </w:rPr>
        <w:t xml:space="preserve"> being temporarily slow vs. a permanent failure. In case the project has visible cash flows, albeit slower/lesser than anticipated, then efforts must be made to restructure the loan before invoking the Guarantee.</w:t>
      </w:r>
    </w:p>
    <w:p w14:paraId="00ED7BD4" w14:textId="77777777" w:rsidR="00622EC7" w:rsidRPr="00FC3764" w:rsidRDefault="00622EC7" w:rsidP="00622EC7">
      <w:pPr>
        <w:pStyle w:val="ListParagraph"/>
        <w:numPr>
          <w:ilvl w:val="0"/>
          <w:numId w:val="26"/>
        </w:numPr>
        <w:spacing w:after="120" w:line="285" w:lineRule="auto"/>
        <w:rPr>
          <w:color w:val="auto"/>
          <w:sz w:val="22"/>
        </w:rPr>
      </w:pPr>
      <w:r w:rsidRPr="00FC3764">
        <w:rPr>
          <w:color w:val="auto"/>
          <w:sz w:val="22"/>
        </w:rPr>
        <w:t>A potential flexible guarantee mechanism could include using a part of the guarantee as payment for the loan instalment such that it provides a cushion to the borrower as also more time to the lender to assess the true status of the project (in case there is a possibility to restructure the loan and not declare it as NPA).</w:t>
      </w:r>
    </w:p>
    <w:p w14:paraId="53CE09C1" w14:textId="77777777" w:rsidR="00622EC7" w:rsidRPr="00FC3764" w:rsidRDefault="00622EC7" w:rsidP="00622EC7">
      <w:pPr>
        <w:pStyle w:val="ListParagraph"/>
        <w:numPr>
          <w:ilvl w:val="0"/>
          <w:numId w:val="26"/>
        </w:numPr>
        <w:spacing w:after="120" w:line="285" w:lineRule="auto"/>
        <w:rPr>
          <w:color w:val="auto"/>
          <w:sz w:val="22"/>
        </w:rPr>
      </w:pPr>
      <w:r w:rsidRPr="00FC3764">
        <w:rPr>
          <w:color w:val="auto"/>
          <w:sz w:val="22"/>
        </w:rPr>
        <w:t xml:space="preserve">Portfolio guarantees are likely to be more suitable for the DRE energy access domain since there is an inherent risk diversification if multiple projects are pooled. Lenders are likely to prefer </w:t>
      </w:r>
      <w:proofErr w:type="spellStart"/>
      <w:r w:rsidRPr="00FC3764">
        <w:rPr>
          <w:color w:val="auto"/>
          <w:sz w:val="22"/>
        </w:rPr>
        <w:t>atleast</w:t>
      </w:r>
      <w:proofErr w:type="spellEnd"/>
      <w:r w:rsidRPr="00FC3764">
        <w:rPr>
          <w:color w:val="auto"/>
          <w:sz w:val="22"/>
        </w:rPr>
        <w:t xml:space="preserve"> some portion of loss being covered under a First Loss</w:t>
      </w:r>
    </w:p>
    <w:p w14:paraId="1BF82DAB" w14:textId="77777777" w:rsidR="00622EC7" w:rsidRPr="00FC3764" w:rsidRDefault="00622EC7" w:rsidP="00622EC7">
      <w:pPr>
        <w:pStyle w:val="ListParagraph"/>
        <w:numPr>
          <w:ilvl w:val="0"/>
          <w:numId w:val="26"/>
        </w:numPr>
        <w:spacing w:after="120" w:line="285" w:lineRule="auto"/>
        <w:rPr>
          <w:color w:val="auto"/>
          <w:sz w:val="22"/>
        </w:rPr>
      </w:pPr>
      <w:r w:rsidRPr="00FC3764">
        <w:rPr>
          <w:color w:val="auto"/>
          <w:sz w:val="22"/>
        </w:rPr>
        <w:t>The Guarantee structure needs to take care of lenders’ concerns around factors such as loan recovery, appropriation of losses and triggers for invoking guarantees.</w:t>
      </w:r>
    </w:p>
    <w:p w14:paraId="651A4D9D" w14:textId="1AFCCBD8" w:rsidR="00622EC7" w:rsidRPr="00FC3764" w:rsidRDefault="00622EC7" w:rsidP="00622EC7">
      <w:pPr>
        <w:pStyle w:val="ListParagraph"/>
        <w:numPr>
          <w:ilvl w:val="0"/>
          <w:numId w:val="26"/>
        </w:numPr>
        <w:spacing w:after="120" w:line="285" w:lineRule="auto"/>
        <w:rPr>
          <w:color w:val="auto"/>
          <w:sz w:val="22"/>
        </w:rPr>
      </w:pPr>
      <w:r w:rsidRPr="00FC3764">
        <w:rPr>
          <w:color w:val="auto"/>
          <w:sz w:val="22"/>
        </w:rPr>
        <w:t xml:space="preserve">To enable appropriate implementation of a guarantee product, following are seen as pre-requisites: </w:t>
      </w:r>
    </w:p>
    <w:p w14:paraId="3D207B5E" w14:textId="77777777" w:rsidR="00622EC7" w:rsidRPr="00FC3764" w:rsidRDefault="00622EC7" w:rsidP="00622EC7">
      <w:pPr>
        <w:pStyle w:val="ListParagraph"/>
        <w:numPr>
          <w:ilvl w:val="0"/>
          <w:numId w:val="25"/>
        </w:numPr>
        <w:spacing w:after="120" w:line="285" w:lineRule="auto"/>
        <w:rPr>
          <w:color w:val="auto"/>
          <w:sz w:val="22"/>
        </w:rPr>
      </w:pPr>
      <w:r w:rsidRPr="00FC3764">
        <w:rPr>
          <w:b/>
          <w:color w:val="auto"/>
          <w:sz w:val="22"/>
        </w:rPr>
        <w:t>Capacity building of lenders</w:t>
      </w:r>
      <w:r w:rsidRPr="00FC3764">
        <w:rPr>
          <w:color w:val="auto"/>
          <w:sz w:val="22"/>
        </w:rPr>
        <w:t xml:space="preserve">: Lenders need to be made aware of the workings of the various business models across multiple segments of the DRE energy access domain. There is also a need to handhold the lenders regarding avenues for de-risking across multiple elements of the ecosystem including policy, consumer level, grass root community development organizations, distribution channels (where applicable) etc. </w:t>
      </w:r>
    </w:p>
    <w:p w14:paraId="22299E3E" w14:textId="77777777" w:rsidR="00622EC7" w:rsidRPr="00622EC7" w:rsidRDefault="00622EC7" w:rsidP="00744422">
      <w:pPr>
        <w:pStyle w:val="ListParagraph"/>
        <w:numPr>
          <w:ilvl w:val="0"/>
          <w:numId w:val="25"/>
        </w:numPr>
        <w:spacing w:after="0" w:line="286" w:lineRule="auto"/>
        <w:ind w:left="714" w:hanging="357"/>
        <w:rPr>
          <w:sz w:val="22"/>
          <w:lang w:val="en-IN"/>
        </w:rPr>
      </w:pPr>
      <w:r w:rsidRPr="00FC3764">
        <w:rPr>
          <w:b/>
          <w:color w:val="auto"/>
          <w:sz w:val="22"/>
        </w:rPr>
        <w:t>Regular monitoring and verification</w:t>
      </w:r>
      <w:r w:rsidRPr="00FC3764">
        <w:rPr>
          <w:color w:val="auto"/>
          <w:sz w:val="22"/>
        </w:rPr>
        <w:t>: There should be a mechanism for continuous monitoring and verification of the guaranteed project as per a process agreed to by guarantor, lender as well as borrower</w:t>
      </w:r>
      <w:r w:rsidRPr="00622EC7">
        <w:rPr>
          <w:sz w:val="22"/>
        </w:rPr>
        <w:t>.</w:t>
      </w:r>
    </w:p>
    <w:p w14:paraId="3BA8CA90" w14:textId="77777777" w:rsidR="00FC3764" w:rsidRDefault="00FC3764" w:rsidP="00744422">
      <w:pPr>
        <w:pStyle w:val="Heading1"/>
        <w:spacing w:before="120"/>
      </w:pPr>
    </w:p>
    <w:p w14:paraId="732B544C" w14:textId="0C5F7885" w:rsidR="00B72E31" w:rsidRDefault="00744422" w:rsidP="00744422">
      <w:pPr>
        <w:pStyle w:val="Heading1"/>
        <w:spacing w:before="120"/>
      </w:pPr>
      <w:r>
        <w:t xml:space="preserve">Potential </w:t>
      </w:r>
      <w:r w:rsidR="006E0107">
        <w:t xml:space="preserve">approaches </w:t>
      </w:r>
      <w:r>
        <w:t xml:space="preserve">and </w:t>
      </w:r>
      <w:r w:rsidR="006E0107">
        <w:t>p</w:t>
      </w:r>
      <w:r>
        <w:t>re-requisites</w:t>
      </w:r>
    </w:p>
    <w:p w14:paraId="06A0A15F" w14:textId="7BBC0AFB" w:rsidR="00744422" w:rsidRPr="00FC3764" w:rsidRDefault="00E20A7F" w:rsidP="00744422">
      <w:pPr>
        <w:spacing w:after="0" w:line="286" w:lineRule="auto"/>
        <w:rPr>
          <w:color w:val="auto"/>
          <w:sz w:val="22"/>
        </w:rPr>
      </w:pPr>
      <w:r>
        <w:rPr>
          <w:color w:val="auto"/>
          <w:sz w:val="22"/>
        </w:rPr>
        <w:t xml:space="preserve">Through the engagement with industry players and catalysts, it is clear that there is a need to establish risk </w:t>
      </w:r>
      <w:r w:rsidRPr="00E20A7F">
        <w:rPr>
          <w:color w:val="auto"/>
          <w:sz w:val="22"/>
        </w:rPr>
        <w:t xml:space="preserve">guarantee constructs in order to determine efficacy in improving access to debt capital for the </w:t>
      </w:r>
      <w:proofErr w:type="spellStart"/>
      <w:r w:rsidRPr="00E20A7F">
        <w:rPr>
          <w:color w:val="auto"/>
          <w:sz w:val="22"/>
        </w:rPr>
        <w:t>space.</w:t>
      </w:r>
      <w:r w:rsidR="00744422" w:rsidRPr="00FC3764">
        <w:rPr>
          <w:color w:val="auto"/>
          <w:sz w:val="22"/>
        </w:rPr>
        <w:t>The</w:t>
      </w:r>
      <w:proofErr w:type="spellEnd"/>
      <w:r w:rsidR="00744422" w:rsidRPr="00FC3764">
        <w:rPr>
          <w:color w:val="auto"/>
          <w:sz w:val="22"/>
        </w:rPr>
        <w:t xml:space="preserve"> following table outlines a comparative assessment of two potential approaches as well as their potential impact. Based on this assessment, Structure 1 is seemingly more advantageous, provided that appropriate market tie ups are in place.</w:t>
      </w:r>
    </w:p>
    <w:tbl>
      <w:tblPr>
        <w:tblStyle w:val="LightGrid-Accent22"/>
        <w:tblpPr w:leftFromText="180" w:rightFromText="180" w:vertAnchor="text" w:horzAnchor="margin" w:tblpXSpec="right" w:tblpY="126"/>
        <w:tblW w:w="0" w:type="auto"/>
        <w:tblLook w:val="04A0" w:firstRow="1" w:lastRow="0" w:firstColumn="1" w:lastColumn="0" w:noHBand="0" w:noVBand="1"/>
      </w:tblPr>
      <w:tblGrid>
        <w:gridCol w:w="1720"/>
        <w:gridCol w:w="1654"/>
        <w:gridCol w:w="1715"/>
      </w:tblGrid>
      <w:tr w:rsidR="00744422" w:rsidRPr="00A87DFA" w14:paraId="74891F53" w14:textId="77777777" w:rsidTr="00744422">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720" w:type="dxa"/>
            <w:vAlign w:val="center"/>
          </w:tcPr>
          <w:p w14:paraId="5B5B7CCC" w14:textId="77777777" w:rsidR="00744422" w:rsidRPr="00A87DFA" w:rsidRDefault="00744422" w:rsidP="00744422">
            <w:pPr>
              <w:rPr>
                <w:rFonts w:asciiTheme="minorHAnsi" w:eastAsiaTheme="majorEastAsia" w:hAnsiTheme="minorHAnsi"/>
                <w:b w:val="0"/>
                <w:bCs w:val="0"/>
              </w:rPr>
            </w:pPr>
          </w:p>
        </w:tc>
        <w:tc>
          <w:tcPr>
            <w:tcW w:w="1654" w:type="dxa"/>
            <w:shd w:val="clear" w:color="auto" w:fill="D99594" w:themeFill="accent2" w:themeFillTint="99"/>
            <w:vAlign w:val="center"/>
          </w:tcPr>
          <w:p w14:paraId="2AF1EB13" w14:textId="77777777" w:rsidR="00744422" w:rsidRDefault="00744422" w:rsidP="00744422">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Cs w:val="0"/>
                <w:sz w:val="20"/>
              </w:rPr>
            </w:pPr>
            <w:r w:rsidRPr="00FB37F9">
              <w:rPr>
                <w:rFonts w:asciiTheme="minorHAnsi" w:eastAsiaTheme="majorEastAsia" w:hAnsiTheme="minorHAnsi"/>
                <w:bCs w:val="0"/>
                <w:sz w:val="20"/>
              </w:rPr>
              <w:t>Structure 1</w:t>
            </w:r>
          </w:p>
          <w:p w14:paraId="5FCF7C4B" w14:textId="1DD40947" w:rsidR="00FC3764" w:rsidRPr="00FB37F9" w:rsidRDefault="00FC3764" w:rsidP="00744422">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Cs w:val="0"/>
                <w:sz w:val="20"/>
              </w:rPr>
            </w:pPr>
            <w:r>
              <w:rPr>
                <w:rFonts w:asciiTheme="minorHAnsi" w:eastAsiaTheme="majorEastAsia" w:hAnsiTheme="minorHAnsi"/>
                <w:bCs w:val="0"/>
                <w:sz w:val="20"/>
              </w:rPr>
              <w:t>(Layered Guarantee)</w:t>
            </w:r>
          </w:p>
        </w:tc>
        <w:tc>
          <w:tcPr>
            <w:tcW w:w="1715" w:type="dxa"/>
            <w:shd w:val="clear" w:color="auto" w:fill="D99594" w:themeFill="accent2" w:themeFillTint="99"/>
            <w:vAlign w:val="center"/>
          </w:tcPr>
          <w:p w14:paraId="6A8999D4" w14:textId="77777777" w:rsidR="00744422" w:rsidRDefault="00744422" w:rsidP="00744422">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Cs w:val="0"/>
                <w:sz w:val="20"/>
              </w:rPr>
            </w:pPr>
            <w:r w:rsidRPr="00FB37F9">
              <w:rPr>
                <w:rFonts w:asciiTheme="minorHAnsi" w:eastAsiaTheme="majorEastAsia" w:hAnsiTheme="minorHAnsi"/>
                <w:bCs w:val="0"/>
                <w:sz w:val="20"/>
              </w:rPr>
              <w:t>Structure 2</w:t>
            </w:r>
          </w:p>
          <w:p w14:paraId="35E02F73" w14:textId="0F3B4428" w:rsidR="00FC3764" w:rsidRPr="00FB37F9" w:rsidRDefault="00FC3764" w:rsidP="00FC3764">
            <w:pPr>
              <w:jc w:val="cente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Cs w:val="0"/>
                <w:sz w:val="20"/>
              </w:rPr>
            </w:pPr>
            <w:r>
              <w:rPr>
                <w:rFonts w:asciiTheme="minorHAnsi" w:eastAsiaTheme="majorEastAsia" w:hAnsiTheme="minorHAnsi"/>
                <w:bCs w:val="0"/>
                <w:sz w:val="20"/>
              </w:rPr>
              <w:t xml:space="preserve">(Standard </w:t>
            </w:r>
            <w:proofErr w:type="spellStart"/>
            <w:r>
              <w:rPr>
                <w:rFonts w:asciiTheme="minorHAnsi" w:eastAsiaTheme="majorEastAsia" w:hAnsiTheme="minorHAnsi"/>
                <w:bCs w:val="0"/>
                <w:sz w:val="20"/>
              </w:rPr>
              <w:t>Pari-passu</w:t>
            </w:r>
            <w:proofErr w:type="spellEnd"/>
            <w:r>
              <w:rPr>
                <w:rFonts w:asciiTheme="minorHAnsi" w:eastAsiaTheme="majorEastAsia" w:hAnsiTheme="minorHAnsi"/>
                <w:bCs w:val="0"/>
                <w:sz w:val="20"/>
              </w:rPr>
              <w:t xml:space="preserve"> structure)</w:t>
            </w:r>
          </w:p>
        </w:tc>
      </w:tr>
      <w:tr w:rsidR="00744422" w:rsidRPr="00A87DFA" w14:paraId="1248CCA4" w14:textId="77777777" w:rsidTr="00744422">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5089" w:type="dxa"/>
            <w:gridSpan w:val="3"/>
            <w:vAlign w:val="center"/>
          </w:tcPr>
          <w:p w14:paraId="4B83971B" w14:textId="77777777" w:rsidR="00744422" w:rsidRPr="00A87DFA" w:rsidRDefault="00744422" w:rsidP="00744422">
            <w:pPr>
              <w:rPr>
                <w:rFonts w:asciiTheme="minorHAnsi" w:eastAsiaTheme="majorEastAsia" w:hAnsiTheme="minorHAnsi"/>
                <w:bCs w:val="0"/>
              </w:rPr>
            </w:pPr>
            <w:r w:rsidRPr="00A87DFA">
              <w:rPr>
                <w:rFonts w:asciiTheme="minorHAnsi" w:eastAsiaTheme="majorEastAsia" w:hAnsiTheme="minorHAnsi"/>
                <w:bCs w:val="0"/>
              </w:rPr>
              <w:t>Design Principles (Ability to meet needs on ground)</w:t>
            </w:r>
          </w:p>
        </w:tc>
      </w:tr>
      <w:tr w:rsidR="00744422" w:rsidRPr="00A87DFA" w14:paraId="6F82FB42" w14:textId="77777777" w:rsidTr="0074442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20" w:type="dxa"/>
            <w:shd w:val="clear" w:color="auto" w:fill="FFFFFF" w:themeFill="background1"/>
            <w:vAlign w:val="center"/>
          </w:tcPr>
          <w:p w14:paraId="0DDF5D4A" w14:textId="77777777" w:rsidR="00744422" w:rsidRPr="00A87DFA" w:rsidRDefault="00744422" w:rsidP="00744422">
            <w:pPr>
              <w:rPr>
                <w:rFonts w:asciiTheme="minorHAnsi" w:hAnsiTheme="minorHAnsi"/>
                <w:b w:val="0"/>
              </w:rPr>
            </w:pPr>
            <w:r w:rsidRPr="00A87DFA">
              <w:rPr>
                <w:rFonts w:asciiTheme="minorHAnsi" w:hAnsiTheme="minorHAnsi"/>
                <w:b w:val="0"/>
              </w:rPr>
              <w:t>Portfolio guarantee to banks to deploy appropriate products for the sector</w:t>
            </w:r>
          </w:p>
        </w:tc>
        <w:tc>
          <w:tcPr>
            <w:tcW w:w="1654" w:type="dxa"/>
            <w:shd w:val="clear" w:color="auto" w:fill="FFFFFF" w:themeFill="background1"/>
            <w:vAlign w:val="center"/>
          </w:tcPr>
          <w:p w14:paraId="4D0A8BB7" w14:textId="77777777" w:rsidR="00744422" w:rsidRPr="00A87DFA" w:rsidRDefault="00744422" w:rsidP="00744422">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87DFA">
              <w:rPr>
                <w:rFonts w:asciiTheme="minorHAnsi" w:hAnsiTheme="minorHAnsi"/>
              </w:rPr>
              <w:t>Yes</w:t>
            </w:r>
          </w:p>
        </w:tc>
        <w:tc>
          <w:tcPr>
            <w:tcW w:w="1715" w:type="dxa"/>
            <w:shd w:val="clear" w:color="auto" w:fill="FFFFFF" w:themeFill="background1"/>
            <w:vAlign w:val="center"/>
          </w:tcPr>
          <w:p w14:paraId="289ECF49" w14:textId="77777777" w:rsidR="00744422" w:rsidRPr="00A87DFA" w:rsidRDefault="00744422" w:rsidP="00744422">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A87DFA">
              <w:rPr>
                <w:rFonts w:asciiTheme="minorHAnsi" w:hAnsiTheme="minorHAnsi"/>
              </w:rPr>
              <w:t>Yes</w:t>
            </w:r>
          </w:p>
        </w:tc>
      </w:tr>
      <w:tr w:rsidR="00744422" w:rsidRPr="00A87DFA" w14:paraId="7AAA7041" w14:textId="77777777" w:rsidTr="0074442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20" w:type="dxa"/>
            <w:shd w:val="clear" w:color="auto" w:fill="FFFFFF" w:themeFill="background1"/>
            <w:vAlign w:val="center"/>
          </w:tcPr>
          <w:p w14:paraId="0EEE07B8" w14:textId="77777777" w:rsidR="00744422" w:rsidRPr="00A87DFA" w:rsidRDefault="00744422" w:rsidP="00744422">
            <w:pPr>
              <w:rPr>
                <w:rFonts w:asciiTheme="minorHAnsi" w:hAnsiTheme="minorHAnsi"/>
                <w:b w:val="0"/>
              </w:rPr>
            </w:pPr>
            <w:r w:rsidRPr="00A87DFA">
              <w:rPr>
                <w:rFonts w:asciiTheme="minorHAnsi" w:hAnsiTheme="minorHAnsi"/>
                <w:b w:val="0"/>
              </w:rPr>
              <w:t xml:space="preserve">Ability to bear the first loss </w:t>
            </w:r>
            <w:r>
              <w:rPr>
                <w:rFonts w:asciiTheme="minorHAnsi" w:hAnsiTheme="minorHAnsi"/>
                <w:b w:val="0"/>
              </w:rPr>
              <w:t>/</w:t>
            </w:r>
            <w:r w:rsidRPr="00A87DFA">
              <w:rPr>
                <w:rFonts w:asciiTheme="minorHAnsi" w:hAnsiTheme="minorHAnsi"/>
                <w:b w:val="0"/>
              </w:rPr>
              <w:t xml:space="preserve"> Invoke guarantee before the loan book is written off as an NPAs</w:t>
            </w:r>
          </w:p>
        </w:tc>
        <w:tc>
          <w:tcPr>
            <w:tcW w:w="1654" w:type="dxa"/>
            <w:shd w:val="clear" w:color="auto" w:fill="FFFFFF" w:themeFill="background1"/>
            <w:vAlign w:val="center"/>
          </w:tcPr>
          <w:p w14:paraId="5CAAD151" w14:textId="77777777" w:rsidR="00744422" w:rsidRPr="00A87DFA" w:rsidRDefault="00744422" w:rsidP="0074442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DFA">
              <w:rPr>
                <w:rFonts w:asciiTheme="minorHAnsi" w:hAnsiTheme="minorHAnsi"/>
              </w:rPr>
              <w:t>Yes</w:t>
            </w:r>
          </w:p>
        </w:tc>
        <w:tc>
          <w:tcPr>
            <w:tcW w:w="1715" w:type="dxa"/>
            <w:shd w:val="clear" w:color="auto" w:fill="FFFFFF" w:themeFill="background1"/>
            <w:vAlign w:val="center"/>
          </w:tcPr>
          <w:p w14:paraId="202D0877" w14:textId="77777777" w:rsidR="00744422" w:rsidRPr="00A87DFA" w:rsidRDefault="00744422" w:rsidP="0074442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Limited willingness from current providers</w:t>
            </w:r>
          </w:p>
        </w:tc>
      </w:tr>
      <w:tr w:rsidR="00744422" w:rsidRPr="00A87DFA" w14:paraId="054130A6" w14:textId="77777777" w:rsidTr="007444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9" w:type="dxa"/>
            <w:gridSpan w:val="3"/>
            <w:vAlign w:val="center"/>
          </w:tcPr>
          <w:p w14:paraId="77A16233" w14:textId="77777777" w:rsidR="00744422" w:rsidRPr="00A87DFA" w:rsidRDefault="00744422" w:rsidP="00744422">
            <w:pPr>
              <w:rPr>
                <w:rFonts w:asciiTheme="minorHAnsi" w:eastAsiaTheme="majorEastAsia" w:hAnsiTheme="minorHAnsi"/>
                <w:bCs w:val="0"/>
              </w:rPr>
            </w:pPr>
            <w:r w:rsidRPr="00A87DFA">
              <w:rPr>
                <w:rFonts w:asciiTheme="minorHAnsi" w:hAnsiTheme="minorHAnsi"/>
              </w:rPr>
              <w:t>Outcome</w:t>
            </w:r>
            <w:r>
              <w:rPr>
                <w:rFonts w:asciiTheme="minorHAnsi" w:hAnsiTheme="minorHAnsi"/>
              </w:rPr>
              <w:t>s</w:t>
            </w:r>
          </w:p>
        </w:tc>
      </w:tr>
      <w:tr w:rsidR="00744422" w:rsidRPr="00A87DFA" w14:paraId="0CE3E933" w14:textId="77777777" w:rsidTr="00744422">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720" w:type="dxa"/>
            <w:vAlign w:val="center"/>
          </w:tcPr>
          <w:p w14:paraId="30F3F5FF" w14:textId="77777777" w:rsidR="00744422" w:rsidRPr="00A87DFA" w:rsidRDefault="00744422" w:rsidP="00744422">
            <w:pPr>
              <w:rPr>
                <w:rFonts w:asciiTheme="minorHAnsi" w:hAnsiTheme="minorHAnsi"/>
                <w:b w:val="0"/>
              </w:rPr>
            </w:pPr>
            <w:r w:rsidRPr="00A87DFA">
              <w:rPr>
                <w:rFonts w:asciiTheme="minorHAnsi" w:hAnsiTheme="minorHAnsi"/>
                <w:b w:val="0"/>
              </w:rPr>
              <w:t>Leverage created</w:t>
            </w:r>
          </w:p>
        </w:tc>
        <w:tc>
          <w:tcPr>
            <w:tcW w:w="1654" w:type="dxa"/>
            <w:vAlign w:val="center"/>
          </w:tcPr>
          <w:p w14:paraId="1A30F920" w14:textId="77777777" w:rsidR="00744422" w:rsidRPr="00A87DFA" w:rsidRDefault="00744422" w:rsidP="0074442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DFA">
              <w:rPr>
                <w:rFonts w:asciiTheme="minorHAnsi" w:hAnsiTheme="minorHAnsi"/>
              </w:rPr>
              <w:t>Greater leverage created for each party by layering of guarantees</w:t>
            </w:r>
          </w:p>
        </w:tc>
        <w:tc>
          <w:tcPr>
            <w:tcW w:w="1715" w:type="dxa"/>
            <w:vAlign w:val="center"/>
          </w:tcPr>
          <w:p w14:paraId="63D21105" w14:textId="77777777" w:rsidR="00744422" w:rsidRPr="00A87DFA" w:rsidRDefault="00744422" w:rsidP="0074442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87DFA">
              <w:rPr>
                <w:rFonts w:asciiTheme="minorHAnsi" w:hAnsiTheme="minorHAnsi"/>
              </w:rPr>
              <w:t xml:space="preserve">Limited leverage </w:t>
            </w:r>
          </w:p>
        </w:tc>
      </w:tr>
      <w:tr w:rsidR="00744422" w:rsidRPr="00A87DFA" w14:paraId="16B7CA5C" w14:textId="77777777" w:rsidTr="007444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0" w:type="dxa"/>
            <w:vAlign w:val="center"/>
          </w:tcPr>
          <w:p w14:paraId="1E761116" w14:textId="77777777" w:rsidR="00744422" w:rsidRPr="00A87DFA" w:rsidRDefault="00744422" w:rsidP="00744422">
            <w:pPr>
              <w:rPr>
                <w:rFonts w:asciiTheme="minorHAnsi" w:hAnsiTheme="minorHAnsi"/>
                <w:b w:val="0"/>
              </w:rPr>
            </w:pPr>
            <w:r>
              <w:rPr>
                <w:rFonts w:asciiTheme="minorHAnsi" w:hAnsiTheme="minorHAnsi"/>
                <w:b w:val="0"/>
              </w:rPr>
              <w:t>Capital mobilized</w:t>
            </w:r>
          </w:p>
        </w:tc>
        <w:tc>
          <w:tcPr>
            <w:tcW w:w="3369" w:type="dxa"/>
            <w:gridSpan w:val="2"/>
            <w:vAlign w:val="center"/>
          </w:tcPr>
          <w:p w14:paraId="327A3E60" w14:textId="77777777" w:rsidR="00744422" w:rsidRPr="00A87DFA" w:rsidRDefault="00744422" w:rsidP="00744422">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The amount of capital mobilized by both the structure is dependent on the uptake of the different products. Based on consultations, lenders have evinced a greater comfort with the first structure, as it seemingly allows for greater flexibility and cover. As banks become more comfortable with the sector, the credit enhancement pool / first loss pool can be used to cover a larger loan portfolio, while the second loss default guarantee can kick in with 50% risk cover.</w:t>
            </w:r>
          </w:p>
        </w:tc>
      </w:tr>
      <w:tr w:rsidR="00744422" w:rsidRPr="00A87DFA" w14:paraId="1A27B6BE" w14:textId="77777777" w:rsidTr="0074442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720" w:type="dxa"/>
            <w:vAlign w:val="center"/>
          </w:tcPr>
          <w:p w14:paraId="23DAEAF7" w14:textId="77777777" w:rsidR="00744422" w:rsidRPr="00FB37F9" w:rsidRDefault="00744422" w:rsidP="00744422">
            <w:pPr>
              <w:rPr>
                <w:rFonts w:asciiTheme="minorHAnsi" w:hAnsiTheme="minorHAnsi"/>
                <w:b w:val="0"/>
              </w:rPr>
            </w:pPr>
            <w:r w:rsidRPr="00FB37F9">
              <w:rPr>
                <w:rFonts w:asciiTheme="minorHAnsi" w:hAnsiTheme="minorHAnsi"/>
                <w:b w:val="0"/>
              </w:rPr>
              <w:t>Cost of guarantee</w:t>
            </w:r>
          </w:p>
        </w:tc>
        <w:tc>
          <w:tcPr>
            <w:tcW w:w="1654" w:type="dxa"/>
            <w:vAlign w:val="center"/>
          </w:tcPr>
          <w:p w14:paraId="2074BA68" w14:textId="77777777" w:rsidR="00744422" w:rsidRDefault="00744422" w:rsidP="00744422">
            <w:pPr>
              <w:cnfStyle w:val="000000100000" w:firstRow="0" w:lastRow="0" w:firstColumn="0" w:lastColumn="0" w:oddVBand="0" w:evenVBand="0" w:oddHBand="1" w:evenHBand="0" w:firstRowFirstColumn="0" w:firstRowLastColumn="0" w:lastRowFirstColumn="0" w:lastRowLastColumn="0"/>
            </w:pPr>
            <w:r>
              <w:t>The overall cost to structure the first loss pool (assuming the 2</w:t>
            </w:r>
            <w:r w:rsidRPr="00FB37F9">
              <w:rPr>
                <w:vertAlign w:val="superscript"/>
              </w:rPr>
              <w:t>nd</w:t>
            </w:r>
            <w:r>
              <w:t xml:space="preserve"> loss pool can emerge from the existing market) would be much lower as it will need to cover a smaller portion of the loan</w:t>
            </w:r>
          </w:p>
        </w:tc>
        <w:tc>
          <w:tcPr>
            <w:tcW w:w="1715" w:type="dxa"/>
            <w:vAlign w:val="center"/>
          </w:tcPr>
          <w:p w14:paraId="391FF5DB" w14:textId="77777777" w:rsidR="00744422" w:rsidRDefault="00744422" w:rsidP="00744422">
            <w:pPr>
              <w:cnfStyle w:val="000000100000" w:firstRow="0" w:lastRow="0" w:firstColumn="0" w:lastColumn="0" w:oddVBand="0" w:evenVBand="0" w:oddHBand="1" w:evenHBand="0" w:firstRowFirstColumn="0" w:firstRowLastColumn="0" w:lastRowFirstColumn="0" w:lastRowLastColumn="0"/>
            </w:pPr>
            <w:r>
              <w:t>Higher cost of structuring the entire pool</w:t>
            </w:r>
          </w:p>
        </w:tc>
      </w:tr>
    </w:tbl>
    <w:p w14:paraId="1B6BBE20" w14:textId="77777777" w:rsidR="00744422" w:rsidRDefault="00744422" w:rsidP="00744422">
      <w:pPr>
        <w:spacing w:after="0"/>
        <w:rPr>
          <w:sz w:val="22"/>
        </w:rPr>
      </w:pPr>
    </w:p>
    <w:p w14:paraId="0F698388" w14:textId="77777777" w:rsidR="00744422" w:rsidRDefault="00744422" w:rsidP="00744422">
      <w:pPr>
        <w:spacing w:after="0"/>
        <w:rPr>
          <w:sz w:val="22"/>
        </w:rPr>
      </w:pPr>
    </w:p>
    <w:p w14:paraId="5DE7AAD5" w14:textId="77777777" w:rsidR="00744422" w:rsidRDefault="00744422" w:rsidP="00744422">
      <w:pPr>
        <w:spacing w:after="0"/>
        <w:rPr>
          <w:sz w:val="22"/>
        </w:rPr>
      </w:pPr>
    </w:p>
    <w:p w14:paraId="3C61EF27" w14:textId="77777777" w:rsidR="00744422" w:rsidRDefault="00744422" w:rsidP="00744422">
      <w:pPr>
        <w:spacing w:after="0"/>
        <w:rPr>
          <w:sz w:val="22"/>
        </w:rPr>
      </w:pPr>
    </w:p>
    <w:p w14:paraId="5D38FB1A" w14:textId="77777777" w:rsidR="00744422" w:rsidRDefault="00744422" w:rsidP="00744422">
      <w:pPr>
        <w:spacing w:after="0"/>
        <w:rPr>
          <w:sz w:val="22"/>
        </w:rPr>
      </w:pPr>
    </w:p>
    <w:p w14:paraId="2BDA5ED7" w14:textId="77777777" w:rsidR="00FC3764" w:rsidRDefault="00FC3764" w:rsidP="00FB37F9">
      <w:pPr>
        <w:sectPr w:rsidR="00FC3764" w:rsidSect="00744422">
          <w:pgSz w:w="11907" w:h="16839" w:code="9"/>
          <w:pgMar w:top="720" w:right="720" w:bottom="720" w:left="720" w:header="288" w:footer="0" w:gutter="0"/>
          <w:cols w:num="2" w:space="720"/>
          <w:titlePg/>
          <w:docGrid w:linePitch="360"/>
        </w:sectPr>
      </w:pPr>
    </w:p>
    <w:p w14:paraId="556FD46C" w14:textId="77777777" w:rsidR="00FC3764" w:rsidRDefault="00FC3764" w:rsidP="00FC3764">
      <w:pPr>
        <w:spacing w:after="0"/>
        <w:rPr>
          <w:rFonts w:eastAsiaTheme="majorEastAsia" w:cstheme="majorBidi"/>
          <w:b/>
          <w:bCs/>
          <w:color w:val="C00000"/>
          <w:sz w:val="26"/>
          <w:szCs w:val="28"/>
        </w:rPr>
      </w:pPr>
      <w:bookmarkStart w:id="1" w:name="_Toc405530740"/>
    </w:p>
    <w:p w14:paraId="5E885C5F" w14:textId="6E416D40" w:rsidR="00DE4B37" w:rsidRPr="00FC3764" w:rsidRDefault="00D60DAE" w:rsidP="00FC3764">
      <w:pPr>
        <w:spacing w:after="0"/>
        <w:rPr>
          <w:rFonts w:eastAsiaTheme="majorEastAsia" w:cstheme="majorBidi"/>
          <w:b/>
          <w:bCs/>
          <w:color w:val="C00000"/>
          <w:sz w:val="26"/>
          <w:szCs w:val="28"/>
        </w:rPr>
      </w:pPr>
      <w:r w:rsidRPr="00FC3764">
        <w:rPr>
          <w:rFonts w:eastAsiaTheme="majorEastAsia" w:cstheme="majorBidi"/>
          <w:b/>
          <w:bCs/>
          <w:color w:val="C00000"/>
          <w:sz w:val="26"/>
          <w:szCs w:val="28"/>
        </w:rPr>
        <w:t xml:space="preserve">Policy </w:t>
      </w:r>
      <w:r w:rsidR="00DE4B37" w:rsidRPr="00FC3764">
        <w:rPr>
          <w:rFonts w:eastAsiaTheme="majorEastAsia" w:cstheme="majorBidi"/>
          <w:b/>
          <w:bCs/>
          <w:color w:val="C00000"/>
          <w:sz w:val="26"/>
          <w:szCs w:val="28"/>
        </w:rPr>
        <w:t xml:space="preserve">Recommendations </w:t>
      </w:r>
    </w:p>
    <w:p w14:paraId="60A6779D" w14:textId="363B8E64" w:rsidR="00E20A7F" w:rsidRDefault="006E0107" w:rsidP="00E20A7F">
      <w:r>
        <w:rPr>
          <w:color w:val="auto"/>
          <w:sz w:val="22"/>
        </w:rPr>
        <w:t xml:space="preserve">Given the critical need for credit enhancement to upscale the DRE sector, key policy interventions are pre-requisites to enabling India’s trajectory on its INDC. A key step in this direction would be to establish </w:t>
      </w:r>
      <w:r w:rsidR="00E20A7F" w:rsidRPr="00E20A7F">
        <w:rPr>
          <w:color w:val="auto"/>
          <w:sz w:val="22"/>
        </w:rPr>
        <w:t>a guarantee fund utilizing monies from the Na</w:t>
      </w:r>
      <w:r>
        <w:rPr>
          <w:color w:val="auto"/>
          <w:sz w:val="22"/>
        </w:rPr>
        <w:t xml:space="preserve">tional Clean Energy Fund (NCEF) or similar public funds. </w:t>
      </w:r>
    </w:p>
    <w:bookmarkEnd w:id="1"/>
    <w:p w14:paraId="459F47A7" w14:textId="2F30983E" w:rsidR="006E0107" w:rsidRPr="00E20A7F" w:rsidRDefault="006E0107" w:rsidP="006E0107">
      <w:pPr>
        <w:rPr>
          <w:color w:val="auto"/>
          <w:sz w:val="22"/>
          <w:lang w:val="en-IN"/>
        </w:rPr>
      </w:pPr>
      <w:r>
        <w:rPr>
          <w:color w:val="auto"/>
          <w:sz w:val="22"/>
          <w:lang w:val="en-IN"/>
        </w:rPr>
        <w:t xml:space="preserve">A sector specific approach would allow for tailoring the solutions to the needs of this evolving segment. This could be implemented by </w:t>
      </w:r>
      <w:r w:rsidR="00E20A7F" w:rsidRPr="00E20A7F">
        <w:rPr>
          <w:color w:val="auto"/>
          <w:sz w:val="22"/>
        </w:rPr>
        <w:t>park</w:t>
      </w:r>
      <w:r>
        <w:rPr>
          <w:color w:val="auto"/>
          <w:sz w:val="22"/>
        </w:rPr>
        <w:t xml:space="preserve">ing the funds, earmarked as guarantee pool, </w:t>
      </w:r>
      <w:r w:rsidR="00E20A7F" w:rsidRPr="00E20A7F">
        <w:rPr>
          <w:color w:val="auto"/>
          <w:sz w:val="22"/>
        </w:rPr>
        <w:t xml:space="preserve">within a central financial institution, which in turn will offer collateral to </w:t>
      </w:r>
      <w:proofErr w:type="spellStart"/>
      <w:r w:rsidR="00E20A7F" w:rsidRPr="00E20A7F">
        <w:rPr>
          <w:color w:val="auto"/>
          <w:sz w:val="22"/>
        </w:rPr>
        <w:t>banks</w:t>
      </w:r>
      <w:proofErr w:type="spellEnd"/>
      <w:r w:rsidR="00E20A7F" w:rsidRPr="00E20A7F">
        <w:rPr>
          <w:color w:val="auto"/>
          <w:sz w:val="22"/>
        </w:rPr>
        <w:t xml:space="preserve"> lending </w:t>
      </w:r>
      <w:r>
        <w:rPr>
          <w:color w:val="auto"/>
          <w:sz w:val="22"/>
        </w:rPr>
        <w:t xml:space="preserve">to </w:t>
      </w:r>
      <w:r w:rsidR="00E20A7F" w:rsidRPr="00E20A7F">
        <w:rPr>
          <w:color w:val="auto"/>
          <w:sz w:val="22"/>
        </w:rPr>
        <w:t xml:space="preserve">last mile delivery energy enterprises. </w:t>
      </w:r>
    </w:p>
    <w:p w14:paraId="7C4439AA" w14:textId="0581863D" w:rsidR="00E20A7F" w:rsidRPr="00E20A7F" w:rsidRDefault="00E20A7F" w:rsidP="007670B4">
      <w:pPr>
        <w:rPr>
          <w:color w:val="auto"/>
          <w:sz w:val="22"/>
        </w:rPr>
      </w:pPr>
      <w:r w:rsidRPr="00E20A7F">
        <w:rPr>
          <w:color w:val="auto"/>
          <w:sz w:val="22"/>
        </w:rPr>
        <w:t>To maxim</w:t>
      </w:r>
      <w:r>
        <w:rPr>
          <w:color w:val="auto"/>
          <w:sz w:val="22"/>
        </w:rPr>
        <w:t>ize</w:t>
      </w:r>
      <w:r w:rsidRPr="00E20A7F">
        <w:rPr>
          <w:color w:val="auto"/>
          <w:sz w:val="22"/>
        </w:rPr>
        <w:t xml:space="preserve"> the impact and evidence created, the guarantee should be structured in a way that it aligns to</w:t>
      </w:r>
      <w:r w:rsidR="006E0107">
        <w:rPr>
          <w:color w:val="auto"/>
          <w:sz w:val="22"/>
        </w:rPr>
        <w:t xml:space="preserve"> and </w:t>
      </w:r>
      <w:r w:rsidRPr="00E20A7F">
        <w:rPr>
          <w:color w:val="auto"/>
          <w:sz w:val="22"/>
        </w:rPr>
        <w:t xml:space="preserve">supports ESCOs which are not </w:t>
      </w:r>
      <w:r w:rsidR="006E0107">
        <w:rPr>
          <w:color w:val="auto"/>
          <w:sz w:val="22"/>
        </w:rPr>
        <w:t>geared to s</w:t>
      </w:r>
      <w:r w:rsidRPr="00E20A7F">
        <w:rPr>
          <w:color w:val="auto"/>
          <w:sz w:val="22"/>
        </w:rPr>
        <w:t>eek market debt (instead of the guarantee supporting the 2-3 ESCOs, which can anyway qualify for funding)</w:t>
      </w:r>
    </w:p>
    <w:p w14:paraId="550783D6" w14:textId="77777777" w:rsidR="007670B4" w:rsidRDefault="00E20A7F" w:rsidP="006E0107">
      <w:pPr>
        <w:rPr>
          <w:color w:val="auto"/>
          <w:sz w:val="22"/>
        </w:rPr>
      </w:pPr>
      <w:r w:rsidRPr="00E20A7F">
        <w:rPr>
          <w:color w:val="auto"/>
          <w:sz w:val="22"/>
        </w:rPr>
        <w:t xml:space="preserve">Given the overall objective of the guarantee product, which is to ensure that loans are made available at </w:t>
      </w:r>
    </w:p>
    <w:p w14:paraId="7F7316C1" w14:textId="77777777" w:rsidR="00D3613E" w:rsidRDefault="00D3613E" w:rsidP="006E0107">
      <w:pPr>
        <w:rPr>
          <w:color w:val="auto"/>
          <w:sz w:val="22"/>
        </w:rPr>
      </w:pPr>
    </w:p>
    <w:p w14:paraId="243DFF74" w14:textId="77777777" w:rsidR="00D3613E" w:rsidRDefault="00D3613E" w:rsidP="006E0107">
      <w:pPr>
        <w:rPr>
          <w:color w:val="auto"/>
          <w:sz w:val="22"/>
        </w:rPr>
      </w:pPr>
    </w:p>
    <w:p w14:paraId="7456BC34" w14:textId="1C5992FE" w:rsidR="006E0107" w:rsidRDefault="00E20A7F" w:rsidP="006E0107">
      <w:pPr>
        <w:rPr>
          <w:color w:val="auto"/>
          <w:sz w:val="22"/>
        </w:rPr>
      </w:pPr>
      <w:proofErr w:type="gramStart"/>
      <w:r w:rsidRPr="00E20A7F">
        <w:rPr>
          <w:color w:val="auto"/>
          <w:sz w:val="22"/>
        </w:rPr>
        <w:t>the</w:t>
      </w:r>
      <w:proofErr w:type="gramEnd"/>
      <w:r w:rsidRPr="00E20A7F">
        <w:rPr>
          <w:color w:val="auto"/>
          <w:sz w:val="22"/>
        </w:rPr>
        <w:t xml:space="preserve"> rates required, it is essential that the guarantee only ties ups with and supports financial institutions and portfolio companies, which are in alignment with the goals of the guarantee as also the exact business segment that is expected to be supported.</w:t>
      </w:r>
    </w:p>
    <w:p w14:paraId="1823E758" w14:textId="50EC0FFD" w:rsidR="007670B4" w:rsidRPr="007670B4" w:rsidRDefault="007670B4" w:rsidP="006E0107">
      <w:pPr>
        <w:rPr>
          <w:color w:val="auto"/>
          <w:sz w:val="22"/>
        </w:rPr>
      </w:pPr>
      <w:r w:rsidRPr="007670B4">
        <w:rPr>
          <w:color w:val="auto"/>
          <w:sz w:val="22"/>
        </w:rPr>
        <w:t xml:space="preserve">Several </w:t>
      </w:r>
      <w:r>
        <w:rPr>
          <w:color w:val="auto"/>
          <w:sz w:val="22"/>
        </w:rPr>
        <w:t xml:space="preserve">DRE </w:t>
      </w:r>
      <w:r w:rsidRPr="007670B4">
        <w:rPr>
          <w:color w:val="auto"/>
          <w:sz w:val="22"/>
        </w:rPr>
        <w:t>energy enterprises have established innovative and sustainable business models.  With adequate support and funding, a large part of the energy needs of those that are un-served or under-served currently can be directly switched to clean energy options, thereby contributing to India’s green growth goals.  It is estimated that decentralized renewable energy solutions to households and small businesses can impact close to 30 million by 2021. (CLEAN</w:t>
      </w:r>
      <w:r>
        <w:rPr>
          <w:color w:val="auto"/>
          <w:sz w:val="22"/>
        </w:rPr>
        <w:t xml:space="preserve"> 2015).</w:t>
      </w:r>
    </w:p>
    <w:p w14:paraId="24333EFE" w14:textId="2F3FFF7F" w:rsidR="00CC5533" w:rsidRDefault="00CC5533" w:rsidP="00FC3764">
      <w:pPr>
        <w:spacing w:after="0"/>
        <w:rPr>
          <w:rFonts w:eastAsiaTheme="majorEastAsia" w:cstheme="majorBidi"/>
          <w:b/>
          <w:bCs/>
          <w:color w:val="C00000"/>
          <w:sz w:val="26"/>
          <w:szCs w:val="28"/>
        </w:rPr>
      </w:pPr>
      <w:r>
        <w:rPr>
          <w:rFonts w:eastAsiaTheme="majorEastAsia" w:cstheme="majorBidi"/>
          <w:b/>
          <w:bCs/>
          <w:color w:val="C00000"/>
          <w:sz w:val="26"/>
          <w:szCs w:val="28"/>
        </w:rPr>
        <w:t>Contours of Potential Pilots</w:t>
      </w:r>
    </w:p>
    <w:p w14:paraId="701AE49C" w14:textId="77777777" w:rsidR="00FC3764" w:rsidRDefault="00CC5533" w:rsidP="00CC5533">
      <w:pPr>
        <w:rPr>
          <w:color w:val="auto"/>
          <w:sz w:val="22"/>
        </w:rPr>
      </w:pPr>
      <w:r w:rsidRPr="00FC3764">
        <w:rPr>
          <w:color w:val="auto"/>
          <w:sz w:val="22"/>
        </w:rPr>
        <w:t xml:space="preserve">As discussed above, the Layered guarantee structure </w:t>
      </w:r>
      <w:r w:rsidR="00C460EA" w:rsidRPr="00FC3764">
        <w:rPr>
          <w:color w:val="auto"/>
          <w:sz w:val="22"/>
        </w:rPr>
        <w:t xml:space="preserve">seems to hold promise for engaging the market. </w:t>
      </w:r>
      <w:r w:rsidRPr="00FC3764">
        <w:rPr>
          <w:color w:val="auto"/>
          <w:sz w:val="22"/>
        </w:rPr>
        <w:t xml:space="preserve">Based on this indication from the market, </w:t>
      </w:r>
      <w:proofErr w:type="spellStart"/>
      <w:r w:rsidRPr="00FC3764">
        <w:rPr>
          <w:color w:val="auto"/>
          <w:sz w:val="22"/>
        </w:rPr>
        <w:t>cKinetics</w:t>
      </w:r>
      <w:proofErr w:type="spellEnd"/>
      <w:r w:rsidRPr="00FC3764">
        <w:rPr>
          <w:color w:val="auto"/>
          <w:sz w:val="22"/>
        </w:rPr>
        <w:t xml:space="preserve"> recommends the development of a pilot guarantee</w:t>
      </w:r>
      <w:r w:rsidR="00E466B6" w:rsidRPr="00FC3764">
        <w:rPr>
          <w:color w:val="auto"/>
          <w:sz w:val="22"/>
        </w:rPr>
        <w:t xml:space="preserve"> program</w:t>
      </w:r>
      <w:r w:rsidR="00C460EA" w:rsidRPr="00FC3764">
        <w:rPr>
          <w:color w:val="auto"/>
          <w:sz w:val="22"/>
        </w:rPr>
        <w:t xml:space="preserve"> as outlined below.</w:t>
      </w:r>
    </w:p>
    <w:p w14:paraId="00B98EF6" w14:textId="77777777" w:rsidR="006E0107" w:rsidRDefault="006E0107" w:rsidP="00CC5533">
      <w:pPr>
        <w:rPr>
          <w:color w:val="auto"/>
          <w:sz w:val="22"/>
        </w:rPr>
      </w:pPr>
    </w:p>
    <w:p w14:paraId="69AE1635" w14:textId="77777777" w:rsidR="006E0107" w:rsidRDefault="006E0107" w:rsidP="00CC5533">
      <w:pPr>
        <w:rPr>
          <w:color w:val="auto"/>
          <w:sz w:val="22"/>
        </w:rPr>
      </w:pPr>
    </w:p>
    <w:p w14:paraId="5696DADA" w14:textId="77777777" w:rsidR="006E0107" w:rsidRDefault="006E0107" w:rsidP="00CC5533">
      <w:pPr>
        <w:rPr>
          <w:color w:val="auto"/>
          <w:sz w:val="22"/>
        </w:rPr>
        <w:sectPr w:rsidR="006E0107" w:rsidSect="00FC3764">
          <w:pgSz w:w="11907" w:h="16839" w:code="9"/>
          <w:pgMar w:top="720" w:right="720" w:bottom="720" w:left="720" w:header="288" w:footer="0" w:gutter="0"/>
          <w:cols w:num="2" w:space="720"/>
          <w:titlePg/>
          <w:docGrid w:linePitch="360"/>
        </w:sectPr>
      </w:pPr>
    </w:p>
    <w:p w14:paraId="6C49EAD8" w14:textId="43DF35C1" w:rsidR="00CC5533" w:rsidRDefault="00241528" w:rsidP="00CC5533">
      <w:r>
        <w:rPr>
          <w:noProof/>
          <w:lang w:val="en-GB" w:eastAsia="en-GB"/>
        </w:rPr>
        <w:drawing>
          <wp:inline distT="0" distB="0" distL="0" distR="0" wp14:anchorId="7D58FCC4" wp14:editId="48CEA129">
            <wp:extent cx="6527800" cy="2946400"/>
            <wp:effectExtent l="38100" t="0" r="44450" b="25400"/>
            <wp:docPr id="501" name="Diagram 5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0C931DC" w14:textId="77777777" w:rsidR="007670B4" w:rsidRPr="007670B4" w:rsidRDefault="007670B4" w:rsidP="007670B4">
      <w:pPr>
        <w:pStyle w:val="Heading4"/>
        <w:spacing w:line="240" w:lineRule="auto"/>
        <w:rPr>
          <w:rFonts w:asciiTheme="minorHAnsi" w:hAnsiTheme="minorHAnsi"/>
          <w:b w:val="0"/>
          <w:sz w:val="22"/>
        </w:rPr>
      </w:pPr>
      <w:r w:rsidRPr="007670B4">
        <w:rPr>
          <w:rFonts w:asciiTheme="minorHAnsi" w:hAnsiTheme="minorHAnsi"/>
          <w:b w:val="0"/>
          <w:sz w:val="22"/>
        </w:rPr>
        <w:t xml:space="preserve">To get engaged or to learn more about the on-going work related to financing decentralized renewable energy (DRE) please email Aparna Khandelwal at </w:t>
      </w:r>
      <w:hyperlink r:id="rId20" w:history="1">
        <w:r w:rsidRPr="007670B4">
          <w:rPr>
            <w:rStyle w:val="Hyperlink"/>
            <w:rFonts w:asciiTheme="minorHAnsi" w:hAnsiTheme="minorHAnsi"/>
            <w:b w:val="0"/>
            <w:sz w:val="22"/>
          </w:rPr>
          <w:t>akhandelwal@ckinetics.com</w:t>
        </w:r>
      </w:hyperlink>
      <w:r w:rsidRPr="007670B4">
        <w:rPr>
          <w:rFonts w:asciiTheme="minorHAnsi" w:hAnsiTheme="minorHAnsi"/>
          <w:b w:val="0"/>
          <w:sz w:val="22"/>
        </w:rPr>
        <w:t xml:space="preserve">  </w:t>
      </w:r>
    </w:p>
    <w:p w14:paraId="3CCCE0DC" w14:textId="77777777" w:rsidR="00D3613E" w:rsidRPr="00494B90" w:rsidRDefault="00D3613E" w:rsidP="00D3613E">
      <w:pPr>
        <w:spacing w:before="40" w:after="0"/>
      </w:pPr>
      <w:r w:rsidRPr="00494B90">
        <w:rPr>
          <w:b/>
          <w:u w:val="single"/>
        </w:rPr>
        <w:t>Disclaimer</w:t>
      </w:r>
      <w:r w:rsidRPr="00494B90">
        <w:t xml:space="preserve">: </w:t>
      </w:r>
      <w:r w:rsidRPr="00494B90">
        <w:rPr>
          <w:rFonts w:cs="Arial"/>
        </w:rPr>
        <w:t xml:space="preserve">This document is an output from a project commissioned through the Climate and Development Knowledge Network (CDKN). CDKN is a </w:t>
      </w:r>
      <w:proofErr w:type="spellStart"/>
      <w:r w:rsidRPr="00494B90">
        <w:rPr>
          <w:rFonts w:cs="Arial"/>
        </w:rPr>
        <w:t>programme</w:t>
      </w:r>
      <w:proofErr w:type="spellEnd"/>
      <w:r w:rsidRPr="00494B90">
        <w:rPr>
          <w:rFonts w:cs="Arial"/>
        </w:rPr>
        <w:t xml:space="preserve"> funded by the UK Department for International Development (DFID) and the Netherlands Directorate-General for International Cooperation (DGIS) for the benefit of developing countries. The views expressed and information contained in it are not necessarily those of or endorsed by DFID, DGIS or the entities managing the delivery of the Climate and Development Knowledge Network, which can accept no responsibility or liability for such views, completeness or accuracy of the information or for any reliance placed on them.</w:t>
      </w:r>
      <w:r w:rsidRPr="00494B90">
        <w:t xml:space="preserve"> </w:t>
      </w:r>
      <w:r w:rsidRPr="00494B90">
        <w:br/>
      </w:r>
      <w:r w:rsidRPr="00494B90">
        <w:lastRenderedPageBreak/>
        <w:br/>
      </w:r>
      <w:r w:rsidRPr="00494B90">
        <w:rPr>
          <w:rFonts w:cs="Arial"/>
        </w:rPr>
        <w:t xml:space="preserve">This publication has been prepared for general guidance on matters of interest only, and does not constitute professional advice. You should not act upon the information contained in this publication without obtaining specific professional advice. No representation or warranty (express or implied) is given as to the accuracy or completeness of the information contained in this publication, and, to the extent permitted by law, the entities managing the delivery of the Climate and Development Knowledge Network* and </w:t>
      </w:r>
      <w:proofErr w:type="spellStart"/>
      <w:r w:rsidRPr="00494B90">
        <w:rPr>
          <w:rFonts w:cs="Arial"/>
        </w:rPr>
        <w:t>cKinetics</w:t>
      </w:r>
      <w:proofErr w:type="spellEnd"/>
      <w:r w:rsidRPr="00494B90">
        <w:rPr>
          <w:rFonts w:cs="Arial"/>
        </w:rPr>
        <w:t xml:space="preserve"> do not accept or assume any liability, responsibility or duty of care for any consequences of you or anyone else acting, or refraining to act, in reliance on the information contained in this publication or for any decision based on it.” </w:t>
      </w:r>
    </w:p>
    <w:p w14:paraId="1ADB1E95" w14:textId="77777777" w:rsidR="00D3613E" w:rsidRPr="00D3613E" w:rsidRDefault="00D3613E" w:rsidP="00D3613E">
      <w:pPr>
        <w:spacing w:before="40" w:after="0"/>
        <w:rPr>
          <w:rFonts w:cs="Arial"/>
        </w:rPr>
      </w:pPr>
      <w:r w:rsidRPr="00D3613E">
        <w:rPr>
          <w:rFonts w:cs="Arial"/>
        </w:rPr>
        <w:t xml:space="preserve">“The Climate and Development Knowledge Network (“CDKN”) is a project funded by the UK Department for International Development and the Netherlands Directorate-General for International Cooperation (DGIS) and is led and administered by PricewaterhouseCoopers LLP. Management of the delivery of CDKN is undertaken by </w:t>
      </w:r>
      <w:hyperlink r:id="rId21" w:history="1">
        <w:r w:rsidRPr="00D3613E">
          <w:t>PricewaterhouseCoopers LLP</w:t>
        </w:r>
      </w:hyperlink>
      <w:r w:rsidRPr="00D3613E">
        <w:rPr>
          <w:rFonts w:cs="Arial"/>
        </w:rPr>
        <w:t xml:space="preserve">, and an alliance of </w:t>
      </w:r>
      <w:proofErr w:type="spellStart"/>
      <w:r w:rsidRPr="00D3613E">
        <w:rPr>
          <w:rFonts w:cs="Arial"/>
        </w:rPr>
        <w:t>organisations</w:t>
      </w:r>
      <w:proofErr w:type="spellEnd"/>
      <w:r w:rsidRPr="00D3613E">
        <w:rPr>
          <w:rFonts w:cs="Arial"/>
        </w:rPr>
        <w:t xml:space="preserve"> including </w:t>
      </w:r>
      <w:hyperlink r:id="rId22" w:history="1">
        <w:proofErr w:type="spellStart"/>
        <w:r w:rsidRPr="00D3613E">
          <w:t>Fundación</w:t>
        </w:r>
        <w:proofErr w:type="spellEnd"/>
        <w:r w:rsidRPr="00D3613E">
          <w:t xml:space="preserve"> </w:t>
        </w:r>
        <w:proofErr w:type="spellStart"/>
        <w:r w:rsidRPr="00D3613E">
          <w:t>Futuro</w:t>
        </w:r>
        <w:proofErr w:type="spellEnd"/>
        <w:r w:rsidRPr="00D3613E">
          <w:t xml:space="preserve"> </w:t>
        </w:r>
        <w:proofErr w:type="spellStart"/>
        <w:r w:rsidRPr="00D3613E">
          <w:t>Latinoamericano</w:t>
        </w:r>
        <w:proofErr w:type="spellEnd"/>
      </w:hyperlink>
      <w:proofErr w:type="gramStart"/>
      <w:r w:rsidRPr="00D3613E">
        <w:rPr>
          <w:rFonts w:cs="Arial"/>
        </w:rPr>
        <w:t>,  LEAD</w:t>
      </w:r>
      <w:proofErr w:type="gramEnd"/>
      <w:r w:rsidRPr="00D3613E">
        <w:rPr>
          <w:rFonts w:cs="Arial"/>
        </w:rPr>
        <w:t xml:space="preserve"> Pakistan, the </w:t>
      </w:r>
      <w:hyperlink r:id="rId23" w:history="1">
        <w:r w:rsidRPr="00D3613E">
          <w:t>Overseas Development Institute</w:t>
        </w:r>
      </w:hyperlink>
      <w:r w:rsidRPr="00D3613E">
        <w:rPr>
          <w:rFonts w:cs="Arial"/>
        </w:rPr>
        <w:t xml:space="preserve">, and </w:t>
      </w:r>
      <w:hyperlink r:id="rId24" w:history="1">
        <w:proofErr w:type="spellStart"/>
        <w:r w:rsidRPr="00D3613E">
          <w:t>SouthSouthNorth</w:t>
        </w:r>
        <w:proofErr w:type="spellEnd"/>
      </w:hyperlink>
      <w:r w:rsidRPr="00D3613E">
        <w:rPr>
          <w:rFonts w:cs="Arial"/>
        </w:rPr>
        <w:t xml:space="preserve">”. </w:t>
      </w:r>
    </w:p>
    <w:p w14:paraId="06DD54A4" w14:textId="77777777" w:rsidR="006E0107" w:rsidRDefault="006E0107" w:rsidP="00CC5533"/>
    <w:sectPr w:rsidR="006E0107" w:rsidSect="00FC3764">
      <w:type w:val="continuous"/>
      <w:pgSz w:w="11907" w:h="16839" w:code="9"/>
      <w:pgMar w:top="720" w:right="720" w:bottom="720" w:left="720"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218AC" w14:textId="77777777" w:rsidR="0090521F" w:rsidRDefault="0090521F" w:rsidP="00E837E1">
      <w:pPr>
        <w:spacing w:after="0" w:line="240" w:lineRule="auto"/>
      </w:pPr>
      <w:r>
        <w:separator/>
      </w:r>
    </w:p>
  </w:endnote>
  <w:endnote w:type="continuationSeparator" w:id="0">
    <w:p w14:paraId="14BC440F" w14:textId="77777777" w:rsidR="0090521F" w:rsidRDefault="0090521F" w:rsidP="00E8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FW Centro Sans">
    <w:altName w:val="Corbel"/>
    <w:charset w:val="00"/>
    <w:family w:val="swiss"/>
    <w:pitch w:val="variable"/>
    <w:sig w:usb0="00000001" w:usb1="5000E0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94DF5" w14:textId="20FCFD07" w:rsidR="00C735E0" w:rsidRDefault="00C735E0">
    <w:pPr>
      <w:pStyle w:val="Footer"/>
    </w:pPr>
    <w:r>
      <w:rPr>
        <w:noProof/>
        <w:lang w:val="en-GB" w:eastAsia="en-GB"/>
      </w:rPr>
      <w:drawing>
        <wp:anchor distT="0" distB="0" distL="114300" distR="114300" simplePos="0" relativeHeight="251661312" behindDoc="0" locked="0" layoutInCell="1" allowOverlap="1" wp14:anchorId="3E274000" wp14:editId="6D229204">
          <wp:simplePos x="0" y="0"/>
          <wp:positionH relativeFrom="column">
            <wp:posOffset>5847080</wp:posOffset>
          </wp:positionH>
          <wp:positionV relativeFrom="paragraph">
            <wp:posOffset>-746760</wp:posOffset>
          </wp:positionV>
          <wp:extent cx="1183897" cy="994225"/>
          <wp:effectExtent l="0" t="0" r="0" b="0"/>
          <wp:wrapNone/>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897" cy="994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758636AE" w14:textId="77777777" w:rsidR="00FE1EA3" w:rsidRDefault="00FE1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DDF03" w14:textId="77777777" w:rsidR="0090521F" w:rsidRDefault="0090521F" w:rsidP="00E837E1">
      <w:pPr>
        <w:spacing w:after="0" w:line="240" w:lineRule="auto"/>
      </w:pPr>
      <w:r>
        <w:separator/>
      </w:r>
    </w:p>
  </w:footnote>
  <w:footnote w:type="continuationSeparator" w:id="0">
    <w:p w14:paraId="071E9AE8" w14:textId="77777777" w:rsidR="0090521F" w:rsidRDefault="0090521F" w:rsidP="00E837E1">
      <w:pPr>
        <w:spacing w:after="0" w:line="240" w:lineRule="auto"/>
      </w:pPr>
      <w:r>
        <w:continuationSeparator/>
      </w:r>
    </w:p>
  </w:footnote>
  <w:footnote w:id="1">
    <w:p w14:paraId="65BB95DC" w14:textId="77777777" w:rsidR="00AA6977" w:rsidRPr="00E46E8E" w:rsidRDefault="00AA6977" w:rsidP="00AA6977">
      <w:pPr>
        <w:pStyle w:val="FootnoteText"/>
      </w:pPr>
      <w:r w:rsidRPr="00E46E8E">
        <w:rPr>
          <w:rStyle w:val="FootnoteReference"/>
        </w:rPr>
        <w:footnoteRef/>
      </w:r>
      <w:r w:rsidRPr="00E46E8E">
        <w:t xml:space="preserve"> Decentralized renewable energy</w:t>
      </w:r>
    </w:p>
  </w:footnote>
  <w:footnote w:id="2">
    <w:p w14:paraId="373A7091" w14:textId="77777777" w:rsidR="00FE1EA3" w:rsidRPr="006B4EFD" w:rsidRDefault="00FE1EA3" w:rsidP="006B4EFD">
      <w:pPr>
        <w:pStyle w:val="FootnoteText"/>
        <w:rPr>
          <w:lang w:val="en-IN"/>
        </w:rPr>
      </w:pPr>
      <w:r>
        <w:rPr>
          <w:rStyle w:val="FootnoteReference"/>
        </w:rPr>
        <w:footnoteRef/>
      </w:r>
      <w:r>
        <w:t xml:space="preserve"> </w:t>
      </w:r>
      <w:r w:rsidRPr="00694DB7">
        <w:rPr>
          <w:sz w:val="18"/>
          <w:szCs w:val="18"/>
        </w:rPr>
        <w:t>http://pib.nic.in/newsite/PrintRelease.aspx?relid=128403</w:t>
      </w:r>
    </w:p>
  </w:footnote>
  <w:footnote w:id="3">
    <w:p w14:paraId="2FFF0475" w14:textId="624897F7" w:rsidR="00D60DAE" w:rsidRPr="00857CBC" w:rsidRDefault="00D60DAE" w:rsidP="00D60DAE">
      <w:pPr>
        <w:pStyle w:val="Footnote"/>
      </w:pPr>
      <w:r>
        <w:rPr>
          <w:rStyle w:val="FootnoteReference"/>
        </w:rPr>
        <w:footnoteRef/>
      </w:r>
      <w:r>
        <w:t xml:space="preserve"> It should be noted here that a loan is recognized as a NPA if the one of loan repayment is delayed between </w:t>
      </w:r>
      <w:r w:rsidR="00C735E0">
        <w:t xml:space="preserve">                                                                                           </w:t>
      </w:r>
      <w:r>
        <w:t>90 and 120 days, as per the Reserve Bank of India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F8BD9" w14:textId="1116E20F" w:rsidR="00FC3764" w:rsidRDefault="00FC3764" w:rsidP="00FC3764">
    <w:pPr>
      <w:pStyle w:val="Header"/>
      <w:shd w:val="clear" w:color="auto" w:fill="4F6228" w:themeFill="accent3" w:themeFillShade="80"/>
    </w:pPr>
    <w:r>
      <w:rPr>
        <w:noProof/>
        <w:lang w:val="en-GB" w:eastAsia="en-GB"/>
      </w:rPr>
      <mc:AlternateContent>
        <mc:Choice Requires="wps">
          <w:drawing>
            <wp:anchor distT="0" distB="0" distL="114300" distR="114300" simplePos="0" relativeHeight="251659264" behindDoc="0" locked="0" layoutInCell="1" allowOverlap="1" wp14:anchorId="538BC7E2" wp14:editId="586E33AD">
              <wp:simplePos x="0" y="0"/>
              <wp:positionH relativeFrom="column">
                <wp:posOffset>-454025</wp:posOffset>
              </wp:positionH>
              <wp:positionV relativeFrom="paragraph">
                <wp:posOffset>-177800</wp:posOffset>
              </wp:positionV>
              <wp:extent cx="7581900" cy="613410"/>
              <wp:effectExtent l="0" t="0" r="0" b="0"/>
              <wp:wrapNone/>
              <wp:docPr id="17"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81900" cy="613410"/>
                      </a:xfrm>
                      <a:prstGeom prst="rect">
                        <a:avLst/>
                      </a:prstGeom>
                      <a:solidFill>
                        <a:srgbClr val="943634"/>
                      </a:solidFill>
                      <a:ln w="25400">
                        <a:noFill/>
                        <a:miter lim="800000"/>
                        <a:headEnd/>
                        <a:tailEnd/>
                      </a:ln>
                    </wps:spPr>
                    <wps:txbx>
                      <w:txbxContent>
                        <w:p w14:paraId="5016BEE5" w14:textId="032E86B1" w:rsidR="00FC3764" w:rsidRPr="00FC3764" w:rsidRDefault="00FC3764" w:rsidP="00FC3764">
                          <w:pPr>
                            <w:widowControl w:val="0"/>
                            <w:spacing w:after="0"/>
                            <w:ind w:right="30"/>
                            <w:jc w:val="center"/>
                            <w:rPr>
                              <w:color w:val="FFFFFF" w:themeColor="background1"/>
                              <w:sz w:val="28"/>
                              <w:szCs w:val="36"/>
                            </w:rPr>
                          </w:pPr>
                          <w:r w:rsidRPr="00FC3764">
                            <w:rPr>
                              <w:rFonts w:ascii="Arial Rounded MT Bold" w:hAnsi="Arial Rounded MT Bold"/>
                              <w:color w:val="FFFFFF" w:themeColor="background1"/>
                              <w:sz w:val="28"/>
                              <w:szCs w:val="36"/>
                              <w:lang w:val="en-GB"/>
                            </w:rPr>
                            <w:t>Designing Guarantees and Credit Enhancement Frameworks for DRE Financing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8BC7E2" id="Rectangle 58" o:spid="_x0000_s1026" style="position:absolute;margin-left:-35.75pt;margin-top:-14pt;width:597pt;height:4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" fillcolor="#943634" stroked="f" strokeweight="2pt">
              <v:path arrowok="t"/>
              <o:lock v:ext="edit" aspectratio="t"/>
              <v:textbox>
                <w:txbxContent>
                  <w:p w14:paraId="5016BEE5" w14:textId="032E86B1" w:rsidR="00FC3764" w:rsidRPr="00FC3764" w:rsidRDefault="00FC3764" w:rsidP="00FC3764">
                    <w:pPr>
                      <w:widowControl w:val="0"/>
                      <w:spacing w:after="0"/>
                      <w:ind w:right="30"/>
                      <w:jc w:val="center"/>
                      <w:rPr>
                        <w:color w:val="FFFFFF" w:themeColor="background1"/>
                        <w:sz w:val="28"/>
                        <w:szCs w:val="36"/>
                      </w:rPr>
                    </w:pPr>
                    <w:r w:rsidRPr="00FC3764">
                      <w:rPr>
                        <w:rFonts w:ascii="Arial Rounded MT Bold" w:hAnsi="Arial Rounded MT Bold"/>
                        <w:color w:val="FFFFFF" w:themeColor="background1"/>
                        <w:sz w:val="28"/>
                        <w:szCs w:val="36"/>
                        <w:lang w:val="en-GB"/>
                      </w:rPr>
                      <w:t>Designing Guarantees and Credit Enhancement Frameworks for DRE Financing</w:t>
                    </w:r>
                  </w:p>
                </w:txbxContent>
              </v:textbox>
            </v:rect>
          </w:pict>
        </mc:Fallback>
      </mc:AlternateContent>
    </w:r>
  </w:p>
  <w:p w14:paraId="1E587488" w14:textId="77777777" w:rsidR="00FE1EA3" w:rsidRDefault="00FE1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044"/>
    <w:multiLevelType w:val="hybridMultilevel"/>
    <w:tmpl w:val="60AE89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FC5380"/>
    <w:multiLevelType w:val="hybridMultilevel"/>
    <w:tmpl w:val="3E605C8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A2E36A2"/>
    <w:multiLevelType w:val="hybridMultilevel"/>
    <w:tmpl w:val="31B8E26C"/>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4F540B0"/>
    <w:multiLevelType w:val="hybridMultilevel"/>
    <w:tmpl w:val="C3AE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44327"/>
    <w:multiLevelType w:val="hybridMultilevel"/>
    <w:tmpl w:val="0494E4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5C37EFF"/>
    <w:multiLevelType w:val="hybridMultilevel"/>
    <w:tmpl w:val="6D86309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79E4790"/>
    <w:multiLevelType w:val="hybridMultilevel"/>
    <w:tmpl w:val="199AA7CC"/>
    <w:lvl w:ilvl="0" w:tplc="52F8632E">
      <w:start w:val="1"/>
      <w:numFmt w:val="bullet"/>
      <w:lvlText w:val="-"/>
      <w:lvlJc w:val="left"/>
      <w:pPr>
        <w:ind w:left="720" w:hanging="360"/>
      </w:pPr>
      <w:rPr>
        <w:rFonts w:ascii="KFW Centro Sans" w:eastAsia="Times New Roman" w:hAnsi="KFW Centro San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8B4E07"/>
    <w:multiLevelType w:val="hybridMultilevel"/>
    <w:tmpl w:val="EAC4DEDE"/>
    <w:lvl w:ilvl="0" w:tplc="9844E9E0">
      <w:numFmt w:val="bullet"/>
      <w:lvlText w:val="-"/>
      <w:lvlJc w:val="left"/>
      <w:pPr>
        <w:ind w:left="360" w:hanging="360"/>
      </w:pPr>
      <w:rPr>
        <w:rFonts w:ascii="Calibri" w:eastAsiaTheme="minorHAnsi" w:hAnsi="Calibri" w:cstheme="minorBid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1DB0109F"/>
    <w:multiLevelType w:val="hybridMultilevel"/>
    <w:tmpl w:val="BEE628B2"/>
    <w:lvl w:ilvl="0" w:tplc="40090017">
      <w:start w:val="1"/>
      <w:numFmt w:val="lowerLetter"/>
      <w:lvlText w:val="%1)"/>
      <w:lvlJc w:val="lef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20AE6DD3"/>
    <w:multiLevelType w:val="hybridMultilevel"/>
    <w:tmpl w:val="EC284556"/>
    <w:lvl w:ilvl="0" w:tplc="9844E9E0">
      <w:numFmt w:val="bullet"/>
      <w:lvlText w:val="-"/>
      <w:lvlJc w:val="left"/>
      <w:pPr>
        <w:ind w:left="720" w:hanging="360"/>
      </w:pPr>
      <w:rPr>
        <w:rFonts w:ascii="Calibri" w:eastAsiaTheme="minorHAnsi" w:hAnsi="Calibri" w:cstheme="minorBidi"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7871DB2"/>
    <w:multiLevelType w:val="hybridMultilevel"/>
    <w:tmpl w:val="BF54A8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83F2296"/>
    <w:multiLevelType w:val="hybridMultilevel"/>
    <w:tmpl w:val="24C044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C0E59E7"/>
    <w:multiLevelType w:val="hybridMultilevel"/>
    <w:tmpl w:val="1166EE8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3" w15:restartNumberingAfterBreak="0">
    <w:nsid w:val="2D5B3EF5"/>
    <w:multiLevelType w:val="hybridMultilevel"/>
    <w:tmpl w:val="991E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85D8F"/>
    <w:multiLevelType w:val="hybridMultilevel"/>
    <w:tmpl w:val="1DE42DCA"/>
    <w:lvl w:ilvl="0" w:tplc="16423F6C">
      <w:start w:val="1"/>
      <w:numFmt w:val="bullet"/>
      <w:lvlText w:val="•"/>
      <w:lvlJc w:val="left"/>
      <w:pPr>
        <w:tabs>
          <w:tab w:val="num" w:pos="360"/>
        </w:tabs>
        <w:ind w:left="360" w:hanging="360"/>
      </w:pPr>
      <w:rPr>
        <w:rFonts w:ascii="Arial" w:hAnsi="Arial" w:hint="default"/>
      </w:rPr>
    </w:lvl>
    <w:lvl w:ilvl="1" w:tplc="9AAADD30">
      <w:start w:val="1"/>
      <w:numFmt w:val="bullet"/>
      <w:lvlText w:val="•"/>
      <w:lvlJc w:val="left"/>
      <w:pPr>
        <w:tabs>
          <w:tab w:val="num" w:pos="1080"/>
        </w:tabs>
        <w:ind w:left="1080" w:hanging="360"/>
      </w:pPr>
      <w:rPr>
        <w:rFonts w:ascii="Arial" w:hAnsi="Arial" w:hint="default"/>
      </w:rPr>
    </w:lvl>
    <w:lvl w:ilvl="2" w:tplc="FC725018">
      <w:start w:val="1"/>
      <w:numFmt w:val="bullet"/>
      <w:lvlText w:val="•"/>
      <w:lvlJc w:val="left"/>
      <w:pPr>
        <w:tabs>
          <w:tab w:val="num" w:pos="1800"/>
        </w:tabs>
        <w:ind w:left="1800" w:hanging="360"/>
      </w:pPr>
      <w:rPr>
        <w:rFonts w:ascii="Arial" w:hAnsi="Arial" w:hint="default"/>
      </w:rPr>
    </w:lvl>
    <w:lvl w:ilvl="3" w:tplc="3584975C" w:tentative="1">
      <w:start w:val="1"/>
      <w:numFmt w:val="bullet"/>
      <w:lvlText w:val="•"/>
      <w:lvlJc w:val="left"/>
      <w:pPr>
        <w:tabs>
          <w:tab w:val="num" w:pos="2520"/>
        </w:tabs>
        <w:ind w:left="2520" w:hanging="360"/>
      </w:pPr>
      <w:rPr>
        <w:rFonts w:ascii="Arial" w:hAnsi="Arial" w:hint="default"/>
      </w:rPr>
    </w:lvl>
    <w:lvl w:ilvl="4" w:tplc="3AE6177A" w:tentative="1">
      <w:start w:val="1"/>
      <w:numFmt w:val="bullet"/>
      <w:lvlText w:val="•"/>
      <w:lvlJc w:val="left"/>
      <w:pPr>
        <w:tabs>
          <w:tab w:val="num" w:pos="3240"/>
        </w:tabs>
        <w:ind w:left="3240" w:hanging="360"/>
      </w:pPr>
      <w:rPr>
        <w:rFonts w:ascii="Arial" w:hAnsi="Arial" w:hint="default"/>
      </w:rPr>
    </w:lvl>
    <w:lvl w:ilvl="5" w:tplc="007A8D72" w:tentative="1">
      <w:start w:val="1"/>
      <w:numFmt w:val="bullet"/>
      <w:lvlText w:val="•"/>
      <w:lvlJc w:val="left"/>
      <w:pPr>
        <w:tabs>
          <w:tab w:val="num" w:pos="3960"/>
        </w:tabs>
        <w:ind w:left="3960" w:hanging="360"/>
      </w:pPr>
      <w:rPr>
        <w:rFonts w:ascii="Arial" w:hAnsi="Arial" w:hint="default"/>
      </w:rPr>
    </w:lvl>
    <w:lvl w:ilvl="6" w:tplc="F9720EA6" w:tentative="1">
      <w:start w:val="1"/>
      <w:numFmt w:val="bullet"/>
      <w:lvlText w:val="•"/>
      <w:lvlJc w:val="left"/>
      <w:pPr>
        <w:tabs>
          <w:tab w:val="num" w:pos="4680"/>
        </w:tabs>
        <w:ind w:left="4680" w:hanging="360"/>
      </w:pPr>
      <w:rPr>
        <w:rFonts w:ascii="Arial" w:hAnsi="Arial" w:hint="default"/>
      </w:rPr>
    </w:lvl>
    <w:lvl w:ilvl="7" w:tplc="3AF2B0F6" w:tentative="1">
      <w:start w:val="1"/>
      <w:numFmt w:val="bullet"/>
      <w:lvlText w:val="•"/>
      <w:lvlJc w:val="left"/>
      <w:pPr>
        <w:tabs>
          <w:tab w:val="num" w:pos="5400"/>
        </w:tabs>
        <w:ind w:left="5400" w:hanging="360"/>
      </w:pPr>
      <w:rPr>
        <w:rFonts w:ascii="Arial" w:hAnsi="Arial" w:hint="default"/>
      </w:rPr>
    </w:lvl>
    <w:lvl w:ilvl="8" w:tplc="3982A2F4"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4CE7A6A"/>
    <w:multiLevelType w:val="hybridMultilevel"/>
    <w:tmpl w:val="F63A985C"/>
    <w:lvl w:ilvl="0" w:tplc="40090017">
      <w:start w:val="1"/>
      <w:numFmt w:val="lowerLetter"/>
      <w:lvlText w:val="%1)"/>
      <w:lvlJc w:val="left"/>
      <w:pPr>
        <w:ind w:left="1080" w:hanging="360"/>
      </w:pPr>
    </w:lvl>
    <w:lvl w:ilvl="1" w:tplc="4009001B">
      <w:start w:val="1"/>
      <w:numFmt w:val="lowerRoman"/>
      <w:lvlText w:val="%2."/>
      <w:lvlJc w:val="righ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9D85BF7"/>
    <w:multiLevelType w:val="hybridMultilevel"/>
    <w:tmpl w:val="7902C078"/>
    <w:lvl w:ilvl="0" w:tplc="04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08F67B8"/>
    <w:multiLevelType w:val="hybridMultilevel"/>
    <w:tmpl w:val="00DC5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34C78A2"/>
    <w:multiLevelType w:val="hybridMultilevel"/>
    <w:tmpl w:val="7D2ECA62"/>
    <w:lvl w:ilvl="0" w:tplc="4009001B">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3F304C9"/>
    <w:multiLevelType w:val="hybridMultilevel"/>
    <w:tmpl w:val="A9BAAD88"/>
    <w:lvl w:ilvl="0" w:tplc="8990C730">
      <w:start w:val="1"/>
      <w:numFmt w:val="bullet"/>
      <w:lvlText w:val="•"/>
      <w:lvlJc w:val="left"/>
      <w:pPr>
        <w:tabs>
          <w:tab w:val="num" w:pos="720"/>
        </w:tabs>
        <w:ind w:left="720" w:hanging="360"/>
      </w:pPr>
      <w:rPr>
        <w:rFonts w:ascii="Arial" w:hAnsi="Arial" w:hint="default"/>
      </w:rPr>
    </w:lvl>
    <w:lvl w:ilvl="1" w:tplc="2CB8EA0E">
      <w:start w:val="1"/>
      <w:numFmt w:val="bullet"/>
      <w:lvlText w:val="•"/>
      <w:lvlJc w:val="left"/>
      <w:pPr>
        <w:tabs>
          <w:tab w:val="num" w:pos="1440"/>
        </w:tabs>
        <w:ind w:left="1440" w:hanging="360"/>
      </w:pPr>
      <w:rPr>
        <w:rFonts w:ascii="Arial" w:hAnsi="Arial" w:hint="default"/>
      </w:rPr>
    </w:lvl>
    <w:lvl w:ilvl="2" w:tplc="A2AC4DA6">
      <w:start w:val="1"/>
      <w:numFmt w:val="bullet"/>
      <w:lvlText w:val="•"/>
      <w:lvlJc w:val="left"/>
      <w:pPr>
        <w:tabs>
          <w:tab w:val="num" w:pos="2160"/>
        </w:tabs>
        <w:ind w:left="2160" w:hanging="360"/>
      </w:pPr>
      <w:rPr>
        <w:rFonts w:ascii="Arial" w:hAnsi="Arial" w:hint="default"/>
      </w:rPr>
    </w:lvl>
    <w:lvl w:ilvl="3" w:tplc="E6E0CFE0">
      <w:start w:val="1"/>
      <w:numFmt w:val="bullet"/>
      <w:lvlText w:val="-"/>
      <w:lvlJc w:val="left"/>
      <w:pPr>
        <w:ind w:left="2880" w:hanging="360"/>
      </w:pPr>
      <w:rPr>
        <w:rFonts w:ascii="Calibri" w:eastAsiaTheme="minorHAnsi" w:hAnsi="Calibri" w:cstheme="minorBidi" w:hint="default"/>
      </w:rPr>
    </w:lvl>
    <w:lvl w:ilvl="4" w:tplc="257C7704" w:tentative="1">
      <w:start w:val="1"/>
      <w:numFmt w:val="bullet"/>
      <w:lvlText w:val="•"/>
      <w:lvlJc w:val="left"/>
      <w:pPr>
        <w:tabs>
          <w:tab w:val="num" w:pos="3600"/>
        </w:tabs>
        <w:ind w:left="3600" w:hanging="360"/>
      </w:pPr>
      <w:rPr>
        <w:rFonts w:ascii="Arial" w:hAnsi="Arial" w:hint="default"/>
      </w:rPr>
    </w:lvl>
    <w:lvl w:ilvl="5" w:tplc="3B4E86A4" w:tentative="1">
      <w:start w:val="1"/>
      <w:numFmt w:val="bullet"/>
      <w:lvlText w:val="•"/>
      <w:lvlJc w:val="left"/>
      <w:pPr>
        <w:tabs>
          <w:tab w:val="num" w:pos="4320"/>
        </w:tabs>
        <w:ind w:left="4320" w:hanging="360"/>
      </w:pPr>
      <w:rPr>
        <w:rFonts w:ascii="Arial" w:hAnsi="Arial" w:hint="default"/>
      </w:rPr>
    </w:lvl>
    <w:lvl w:ilvl="6" w:tplc="E4A0581E" w:tentative="1">
      <w:start w:val="1"/>
      <w:numFmt w:val="bullet"/>
      <w:lvlText w:val="•"/>
      <w:lvlJc w:val="left"/>
      <w:pPr>
        <w:tabs>
          <w:tab w:val="num" w:pos="5040"/>
        </w:tabs>
        <w:ind w:left="5040" w:hanging="360"/>
      </w:pPr>
      <w:rPr>
        <w:rFonts w:ascii="Arial" w:hAnsi="Arial" w:hint="default"/>
      </w:rPr>
    </w:lvl>
    <w:lvl w:ilvl="7" w:tplc="DAB63BEA" w:tentative="1">
      <w:start w:val="1"/>
      <w:numFmt w:val="bullet"/>
      <w:lvlText w:val="•"/>
      <w:lvlJc w:val="left"/>
      <w:pPr>
        <w:tabs>
          <w:tab w:val="num" w:pos="5760"/>
        </w:tabs>
        <w:ind w:left="5760" w:hanging="360"/>
      </w:pPr>
      <w:rPr>
        <w:rFonts w:ascii="Arial" w:hAnsi="Arial" w:hint="default"/>
      </w:rPr>
    </w:lvl>
    <w:lvl w:ilvl="8" w:tplc="0C8CACF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1D1143"/>
    <w:multiLevelType w:val="multilevel"/>
    <w:tmpl w:val="D6E22F62"/>
    <w:styleLink w:val="Style1"/>
    <w:lvl w:ilvl="0">
      <w:start w:val="1"/>
      <w:numFmt w:val="decimal"/>
      <w:lvlText w:val="Chapter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9A7B77"/>
    <w:multiLevelType w:val="hybridMultilevel"/>
    <w:tmpl w:val="F634AF74"/>
    <w:lvl w:ilvl="0" w:tplc="9D08CC6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66157765"/>
    <w:multiLevelType w:val="hybridMultilevel"/>
    <w:tmpl w:val="143C8338"/>
    <w:lvl w:ilvl="0" w:tplc="8B92EE3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89312FA"/>
    <w:multiLevelType w:val="multilevel"/>
    <w:tmpl w:val="36BC52DC"/>
    <w:styleLink w:val="Style2"/>
    <w:lvl w:ilvl="0">
      <w:start w:val="1"/>
      <w:numFmt w:val="decimal"/>
      <w:lvlText w:val="%1."/>
      <w:lvlJc w:val="left"/>
      <w:pPr>
        <w:ind w:left="0" w:firstLine="0"/>
      </w:pPr>
      <w:rPr>
        <w:rFonts w:hint="default"/>
      </w:rPr>
    </w:lvl>
    <w:lvl w:ilvl="1">
      <w:start w:val="1"/>
      <w:numFmt w:val="decimal"/>
      <w:lvlText w:val="%1.%2"/>
      <w:lvlJc w:val="left"/>
      <w:pPr>
        <w:tabs>
          <w:tab w:val="num" w:pos="288"/>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ED64FE2"/>
    <w:multiLevelType w:val="hybridMultilevel"/>
    <w:tmpl w:val="9A122508"/>
    <w:lvl w:ilvl="0" w:tplc="40090001">
      <w:start w:val="1"/>
      <w:numFmt w:val="bullet"/>
      <w:lvlText w:val=""/>
      <w:lvlJc w:val="left"/>
      <w:pPr>
        <w:ind w:left="760" w:hanging="360"/>
      </w:pPr>
      <w:rPr>
        <w:rFonts w:ascii="Symbol" w:hAnsi="Symbol" w:hint="default"/>
      </w:rPr>
    </w:lvl>
    <w:lvl w:ilvl="1" w:tplc="40090003" w:tentative="1">
      <w:start w:val="1"/>
      <w:numFmt w:val="bullet"/>
      <w:lvlText w:val="o"/>
      <w:lvlJc w:val="left"/>
      <w:pPr>
        <w:ind w:left="1480" w:hanging="360"/>
      </w:pPr>
      <w:rPr>
        <w:rFonts w:ascii="Courier New" w:hAnsi="Courier New" w:cs="Courier New" w:hint="default"/>
      </w:rPr>
    </w:lvl>
    <w:lvl w:ilvl="2" w:tplc="40090005" w:tentative="1">
      <w:start w:val="1"/>
      <w:numFmt w:val="bullet"/>
      <w:lvlText w:val=""/>
      <w:lvlJc w:val="left"/>
      <w:pPr>
        <w:ind w:left="2200" w:hanging="360"/>
      </w:pPr>
      <w:rPr>
        <w:rFonts w:ascii="Wingdings" w:hAnsi="Wingdings" w:hint="default"/>
      </w:rPr>
    </w:lvl>
    <w:lvl w:ilvl="3" w:tplc="40090001" w:tentative="1">
      <w:start w:val="1"/>
      <w:numFmt w:val="bullet"/>
      <w:lvlText w:val=""/>
      <w:lvlJc w:val="left"/>
      <w:pPr>
        <w:ind w:left="2920" w:hanging="360"/>
      </w:pPr>
      <w:rPr>
        <w:rFonts w:ascii="Symbol" w:hAnsi="Symbol" w:hint="default"/>
      </w:rPr>
    </w:lvl>
    <w:lvl w:ilvl="4" w:tplc="40090003" w:tentative="1">
      <w:start w:val="1"/>
      <w:numFmt w:val="bullet"/>
      <w:lvlText w:val="o"/>
      <w:lvlJc w:val="left"/>
      <w:pPr>
        <w:ind w:left="3640" w:hanging="360"/>
      </w:pPr>
      <w:rPr>
        <w:rFonts w:ascii="Courier New" w:hAnsi="Courier New" w:cs="Courier New" w:hint="default"/>
      </w:rPr>
    </w:lvl>
    <w:lvl w:ilvl="5" w:tplc="40090005" w:tentative="1">
      <w:start w:val="1"/>
      <w:numFmt w:val="bullet"/>
      <w:lvlText w:val=""/>
      <w:lvlJc w:val="left"/>
      <w:pPr>
        <w:ind w:left="4360" w:hanging="360"/>
      </w:pPr>
      <w:rPr>
        <w:rFonts w:ascii="Wingdings" w:hAnsi="Wingdings" w:hint="default"/>
      </w:rPr>
    </w:lvl>
    <w:lvl w:ilvl="6" w:tplc="40090001" w:tentative="1">
      <w:start w:val="1"/>
      <w:numFmt w:val="bullet"/>
      <w:lvlText w:val=""/>
      <w:lvlJc w:val="left"/>
      <w:pPr>
        <w:ind w:left="5080" w:hanging="360"/>
      </w:pPr>
      <w:rPr>
        <w:rFonts w:ascii="Symbol" w:hAnsi="Symbol" w:hint="default"/>
      </w:rPr>
    </w:lvl>
    <w:lvl w:ilvl="7" w:tplc="40090003" w:tentative="1">
      <w:start w:val="1"/>
      <w:numFmt w:val="bullet"/>
      <w:lvlText w:val="o"/>
      <w:lvlJc w:val="left"/>
      <w:pPr>
        <w:ind w:left="5800" w:hanging="360"/>
      </w:pPr>
      <w:rPr>
        <w:rFonts w:ascii="Courier New" w:hAnsi="Courier New" w:cs="Courier New" w:hint="default"/>
      </w:rPr>
    </w:lvl>
    <w:lvl w:ilvl="8" w:tplc="40090005" w:tentative="1">
      <w:start w:val="1"/>
      <w:numFmt w:val="bullet"/>
      <w:lvlText w:val=""/>
      <w:lvlJc w:val="left"/>
      <w:pPr>
        <w:ind w:left="6520" w:hanging="360"/>
      </w:pPr>
      <w:rPr>
        <w:rFonts w:ascii="Wingdings" w:hAnsi="Wingdings" w:hint="default"/>
      </w:rPr>
    </w:lvl>
  </w:abstractNum>
  <w:abstractNum w:abstractNumId="25" w15:restartNumberingAfterBreak="0">
    <w:nsid w:val="73282493"/>
    <w:multiLevelType w:val="hybridMultilevel"/>
    <w:tmpl w:val="A4C6B3F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15:restartNumberingAfterBreak="0">
    <w:nsid w:val="75952018"/>
    <w:multiLevelType w:val="hybridMultilevel"/>
    <w:tmpl w:val="0FBCD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65E3614"/>
    <w:multiLevelType w:val="hybridMultilevel"/>
    <w:tmpl w:val="DA8CE1B4"/>
    <w:lvl w:ilvl="0" w:tplc="5264485C">
      <w:start w:val="1"/>
      <w:numFmt w:val="lowerRoman"/>
      <w:lvlText w:val="%1)"/>
      <w:lvlJc w:val="left"/>
      <w:pPr>
        <w:ind w:left="2005" w:hanging="720"/>
      </w:pPr>
    </w:lvl>
    <w:lvl w:ilvl="1" w:tplc="40090019">
      <w:start w:val="1"/>
      <w:numFmt w:val="lowerLetter"/>
      <w:lvlText w:val="%2."/>
      <w:lvlJc w:val="left"/>
      <w:pPr>
        <w:ind w:left="2149" w:hanging="360"/>
      </w:pPr>
    </w:lvl>
    <w:lvl w:ilvl="2" w:tplc="4009001B">
      <w:start w:val="1"/>
      <w:numFmt w:val="lowerRoman"/>
      <w:lvlText w:val="%3."/>
      <w:lvlJc w:val="right"/>
      <w:pPr>
        <w:ind w:left="2869" w:hanging="180"/>
      </w:pPr>
    </w:lvl>
    <w:lvl w:ilvl="3" w:tplc="4009000F">
      <w:start w:val="1"/>
      <w:numFmt w:val="decimal"/>
      <w:lvlText w:val="%4."/>
      <w:lvlJc w:val="left"/>
      <w:pPr>
        <w:ind w:left="3589" w:hanging="360"/>
      </w:pPr>
    </w:lvl>
    <w:lvl w:ilvl="4" w:tplc="40090019">
      <w:start w:val="1"/>
      <w:numFmt w:val="lowerLetter"/>
      <w:lvlText w:val="%5."/>
      <w:lvlJc w:val="left"/>
      <w:pPr>
        <w:ind w:left="4309" w:hanging="360"/>
      </w:pPr>
    </w:lvl>
    <w:lvl w:ilvl="5" w:tplc="4009001B">
      <w:start w:val="1"/>
      <w:numFmt w:val="lowerRoman"/>
      <w:lvlText w:val="%6."/>
      <w:lvlJc w:val="right"/>
      <w:pPr>
        <w:ind w:left="5029" w:hanging="180"/>
      </w:pPr>
    </w:lvl>
    <w:lvl w:ilvl="6" w:tplc="4009000F">
      <w:start w:val="1"/>
      <w:numFmt w:val="decimal"/>
      <w:lvlText w:val="%7."/>
      <w:lvlJc w:val="left"/>
      <w:pPr>
        <w:ind w:left="5749" w:hanging="360"/>
      </w:pPr>
    </w:lvl>
    <w:lvl w:ilvl="7" w:tplc="40090019">
      <w:start w:val="1"/>
      <w:numFmt w:val="lowerLetter"/>
      <w:lvlText w:val="%8."/>
      <w:lvlJc w:val="left"/>
      <w:pPr>
        <w:ind w:left="6469" w:hanging="360"/>
      </w:pPr>
    </w:lvl>
    <w:lvl w:ilvl="8" w:tplc="4009001B">
      <w:start w:val="1"/>
      <w:numFmt w:val="lowerRoman"/>
      <w:lvlText w:val="%9."/>
      <w:lvlJc w:val="right"/>
      <w:pPr>
        <w:ind w:left="7189" w:hanging="180"/>
      </w:pPr>
    </w:lvl>
  </w:abstractNum>
  <w:abstractNum w:abstractNumId="28" w15:restartNumberingAfterBreak="0">
    <w:nsid w:val="7FD555A4"/>
    <w:multiLevelType w:val="hybridMultilevel"/>
    <w:tmpl w:val="4F7CCCB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1"/>
  </w:num>
  <w:num w:numId="4">
    <w:abstractNumId w:val="3"/>
  </w:num>
  <w:num w:numId="5">
    <w:abstractNumId w:val="13"/>
  </w:num>
  <w:num w:numId="6">
    <w:abstractNumId w:val="6"/>
  </w:num>
  <w:num w:numId="7">
    <w:abstractNumId w:val="11"/>
  </w:num>
  <w:num w:numId="8">
    <w:abstractNumId w:val="18"/>
  </w:num>
  <w:num w:numId="9">
    <w:abstractNumId w:val="4"/>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2"/>
  </w:num>
  <w:num w:numId="13">
    <w:abstractNumId w:val="8"/>
  </w:num>
  <w:num w:numId="14">
    <w:abstractNumId w:val="15"/>
  </w:num>
  <w:num w:numId="15">
    <w:abstractNumId w:val="17"/>
  </w:num>
  <w:num w:numId="16">
    <w:abstractNumId w:val="10"/>
  </w:num>
  <w:num w:numId="17">
    <w:abstractNumId w:val="2"/>
  </w:num>
  <w:num w:numId="18">
    <w:abstractNumId w:val="7"/>
  </w:num>
  <w:num w:numId="19">
    <w:abstractNumId w:val="0"/>
  </w:num>
  <w:num w:numId="20">
    <w:abstractNumId w:val="9"/>
  </w:num>
  <w:num w:numId="21">
    <w:abstractNumId w:val="26"/>
  </w:num>
  <w:num w:numId="22">
    <w:abstractNumId w:val="16"/>
  </w:num>
  <w:num w:numId="23">
    <w:abstractNumId w:val="14"/>
  </w:num>
  <w:num w:numId="24">
    <w:abstractNumId w:val="1"/>
  </w:num>
  <w:num w:numId="25">
    <w:abstractNumId w:val="28"/>
  </w:num>
  <w:num w:numId="26">
    <w:abstractNumId w:val="25"/>
  </w:num>
  <w:num w:numId="27">
    <w:abstractNumId w:val="19"/>
  </w:num>
  <w:num w:numId="28">
    <w:abstractNumId w:val="12"/>
  </w:num>
  <w:num w:numId="29">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E1"/>
    <w:rsid w:val="00002480"/>
    <w:rsid w:val="00004D64"/>
    <w:rsid w:val="00011EEC"/>
    <w:rsid w:val="00012DB4"/>
    <w:rsid w:val="0001385E"/>
    <w:rsid w:val="00013FDD"/>
    <w:rsid w:val="00015A3D"/>
    <w:rsid w:val="00017315"/>
    <w:rsid w:val="00017742"/>
    <w:rsid w:val="0002407B"/>
    <w:rsid w:val="000246ED"/>
    <w:rsid w:val="00026B79"/>
    <w:rsid w:val="00035B02"/>
    <w:rsid w:val="00037551"/>
    <w:rsid w:val="00043D9B"/>
    <w:rsid w:val="00052E35"/>
    <w:rsid w:val="000536B9"/>
    <w:rsid w:val="00053970"/>
    <w:rsid w:val="00056B4B"/>
    <w:rsid w:val="00056BEB"/>
    <w:rsid w:val="0006064A"/>
    <w:rsid w:val="00061E69"/>
    <w:rsid w:val="000640E8"/>
    <w:rsid w:val="00064970"/>
    <w:rsid w:val="00064BE3"/>
    <w:rsid w:val="000703C2"/>
    <w:rsid w:val="00070DBD"/>
    <w:rsid w:val="00071593"/>
    <w:rsid w:val="00073205"/>
    <w:rsid w:val="0007399C"/>
    <w:rsid w:val="00073E25"/>
    <w:rsid w:val="00074448"/>
    <w:rsid w:val="00076E7D"/>
    <w:rsid w:val="000777C3"/>
    <w:rsid w:val="00077C45"/>
    <w:rsid w:val="0009299A"/>
    <w:rsid w:val="00094715"/>
    <w:rsid w:val="00097FCA"/>
    <w:rsid w:val="000A61A4"/>
    <w:rsid w:val="000A62DB"/>
    <w:rsid w:val="000A7F6F"/>
    <w:rsid w:val="000B027C"/>
    <w:rsid w:val="000B09E8"/>
    <w:rsid w:val="000B1C9F"/>
    <w:rsid w:val="000B5C78"/>
    <w:rsid w:val="000C10A1"/>
    <w:rsid w:val="000C29A9"/>
    <w:rsid w:val="000C34D8"/>
    <w:rsid w:val="000C4643"/>
    <w:rsid w:val="000C6209"/>
    <w:rsid w:val="000C75E6"/>
    <w:rsid w:val="000D02F0"/>
    <w:rsid w:val="000D5345"/>
    <w:rsid w:val="000E3727"/>
    <w:rsid w:val="000F3B38"/>
    <w:rsid w:val="000F4483"/>
    <w:rsid w:val="000F4842"/>
    <w:rsid w:val="000F66FE"/>
    <w:rsid w:val="00101E90"/>
    <w:rsid w:val="001032F3"/>
    <w:rsid w:val="001079BC"/>
    <w:rsid w:val="001079F8"/>
    <w:rsid w:val="00113033"/>
    <w:rsid w:val="00120A29"/>
    <w:rsid w:val="00131724"/>
    <w:rsid w:val="00132705"/>
    <w:rsid w:val="00132BD2"/>
    <w:rsid w:val="0013546E"/>
    <w:rsid w:val="001355FF"/>
    <w:rsid w:val="00135DF5"/>
    <w:rsid w:val="0014272D"/>
    <w:rsid w:val="0014364D"/>
    <w:rsid w:val="001442C3"/>
    <w:rsid w:val="00150596"/>
    <w:rsid w:val="00155501"/>
    <w:rsid w:val="001648CB"/>
    <w:rsid w:val="0016578A"/>
    <w:rsid w:val="001741AF"/>
    <w:rsid w:val="00182275"/>
    <w:rsid w:val="001832B6"/>
    <w:rsid w:val="00183857"/>
    <w:rsid w:val="0019345A"/>
    <w:rsid w:val="00194D59"/>
    <w:rsid w:val="00196B73"/>
    <w:rsid w:val="001A26AB"/>
    <w:rsid w:val="001A2F9C"/>
    <w:rsid w:val="001A3111"/>
    <w:rsid w:val="001A416E"/>
    <w:rsid w:val="001A6646"/>
    <w:rsid w:val="001B5911"/>
    <w:rsid w:val="001B62AD"/>
    <w:rsid w:val="001C30AD"/>
    <w:rsid w:val="001C386E"/>
    <w:rsid w:val="001C569E"/>
    <w:rsid w:val="001C7D1F"/>
    <w:rsid w:val="001D06E9"/>
    <w:rsid w:val="001D309F"/>
    <w:rsid w:val="001D3AD7"/>
    <w:rsid w:val="001D65A3"/>
    <w:rsid w:val="001E08DC"/>
    <w:rsid w:val="001E1082"/>
    <w:rsid w:val="001E2032"/>
    <w:rsid w:val="001E4528"/>
    <w:rsid w:val="001E5234"/>
    <w:rsid w:val="001F2DF7"/>
    <w:rsid w:val="001F77EE"/>
    <w:rsid w:val="00202ADC"/>
    <w:rsid w:val="002045CB"/>
    <w:rsid w:val="00205BD0"/>
    <w:rsid w:val="002104EF"/>
    <w:rsid w:val="002135AA"/>
    <w:rsid w:val="0021408C"/>
    <w:rsid w:val="0021439F"/>
    <w:rsid w:val="00216475"/>
    <w:rsid w:val="00223291"/>
    <w:rsid w:val="00223956"/>
    <w:rsid w:val="002257B7"/>
    <w:rsid w:val="00225D71"/>
    <w:rsid w:val="00226523"/>
    <w:rsid w:val="00230D81"/>
    <w:rsid w:val="00232E21"/>
    <w:rsid w:val="00235C86"/>
    <w:rsid w:val="00240D5B"/>
    <w:rsid w:val="00241528"/>
    <w:rsid w:val="00242A78"/>
    <w:rsid w:val="002470AB"/>
    <w:rsid w:val="00247B2F"/>
    <w:rsid w:val="00251644"/>
    <w:rsid w:val="00251DA5"/>
    <w:rsid w:val="0025245D"/>
    <w:rsid w:val="002530C1"/>
    <w:rsid w:val="00255CC5"/>
    <w:rsid w:val="00256406"/>
    <w:rsid w:val="00256B41"/>
    <w:rsid w:val="00257ACD"/>
    <w:rsid w:val="00263242"/>
    <w:rsid w:val="0026656B"/>
    <w:rsid w:val="002728A3"/>
    <w:rsid w:val="00273C8A"/>
    <w:rsid w:val="002846F3"/>
    <w:rsid w:val="00293642"/>
    <w:rsid w:val="00293C92"/>
    <w:rsid w:val="00294D50"/>
    <w:rsid w:val="002964CD"/>
    <w:rsid w:val="00296C2C"/>
    <w:rsid w:val="002A12F7"/>
    <w:rsid w:val="002A1D30"/>
    <w:rsid w:val="002A41A5"/>
    <w:rsid w:val="002A43E9"/>
    <w:rsid w:val="002A5F9E"/>
    <w:rsid w:val="002A765F"/>
    <w:rsid w:val="002B0417"/>
    <w:rsid w:val="002B4CBA"/>
    <w:rsid w:val="002B7269"/>
    <w:rsid w:val="002C046F"/>
    <w:rsid w:val="002D2746"/>
    <w:rsid w:val="002D6063"/>
    <w:rsid w:val="002D7420"/>
    <w:rsid w:val="002E43EC"/>
    <w:rsid w:val="002E4A65"/>
    <w:rsid w:val="002F2555"/>
    <w:rsid w:val="002F294E"/>
    <w:rsid w:val="00307C79"/>
    <w:rsid w:val="00310A2E"/>
    <w:rsid w:val="003123BC"/>
    <w:rsid w:val="00313C63"/>
    <w:rsid w:val="00315485"/>
    <w:rsid w:val="00315C4F"/>
    <w:rsid w:val="00316D06"/>
    <w:rsid w:val="00322726"/>
    <w:rsid w:val="00325BE4"/>
    <w:rsid w:val="00327F2C"/>
    <w:rsid w:val="003351BB"/>
    <w:rsid w:val="00336C4C"/>
    <w:rsid w:val="0034680F"/>
    <w:rsid w:val="0034691E"/>
    <w:rsid w:val="003522B0"/>
    <w:rsid w:val="00360E71"/>
    <w:rsid w:val="003673B4"/>
    <w:rsid w:val="0037049E"/>
    <w:rsid w:val="00372DDB"/>
    <w:rsid w:val="00372F88"/>
    <w:rsid w:val="003745CF"/>
    <w:rsid w:val="00380421"/>
    <w:rsid w:val="0038211D"/>
    <w:rsid w:val="00384949"/>
    <w:rsid w:val="003906F5"/>
    <w:rsid w:val="003934E6"/>
    <w:rsid w:val="0039386D"/>
    <w:rsid w:val="00394AF2"/>
    <w:rsid w:val="003A1628"/>
    <w:rsid w:val="003A1A08"/>
    <w:rsid w:val="003B188B"/>
    <w:rsid w:val="003B6AAA"/>
    <w:rsid w:val="003C5745"/>
    <w:rsid w:val="003C779E"/>
    <w:rsid w:val="003D2D9D"/>
    <w:rsid w:val="003D6C25"/>
    <w:rsid w:val="003E06AE"/>
    <w:rsid w:val="003E3163"/>
    <w:rsid w:val="003E549A"/>
    <w:rsid w:val="003E5F2E"/>
    <w:rsid w:val="003F094E"/>
    <w:rsid w:val="003F696E"/>
    <w:rsid w:val="003F6C81"/>
    <w:rsid w:val="0040027C"/>
    <w:rsid w:val="00400B9B"/>
    <w:rsid w:val="00400CB3"/>
    <w:rsid w:val="00401A07"/>
    <w:rsid w:val="004045E9"/>
    <w:rsid w:val="00406CC3"/>
    <w:rsid w:val="0041137A"/>
    <w:rsid w:val="004124A5"/>
    <w:rsid w:val="004202FA"/>
    <w:rsid w:val="0042055E"/>
    <w:rsid w:val="00420F18"/>
    <w:rsid w:val="0042493F"/>
    <w:rsid w:val="00424F62"/>
    <w:rsid w:val="004252ED"/>
    <w:rsid w:val="00434587"/>
    <w:rsid w:val="0044268B"/>
    <w:rsid w:val="00443241"/>
    <w:rsid w:val="004433B6"/>
    <w:rsid w:val="0045199A"/>
    <w:rsid w:val="0045705E"/>
    <w:rsid w:val="004571D5"/>
    <w:rsid w:val="00462BE4"/>
    <w:rsid w:val="004652F9"/>
    <w:rsid w:val="004668B5"/>
    <w:rsid w:val="00466C61"/>
    <w:rsid w:val="00470FC5"/>
    <w:rsid w:val="004737CE"/>
    <w:rsid w:val="00474C2F"/>
    <w:rsid w:val="00482680"/>
    <w:rsid w:val="004840F1"/>
    <w:rsid w:val="004853A8"/>
    <w:rsid w:val="00491B4D"/>
    <w:rsid w:val="0049422D"/>
    <w:rsid w:val="004977EB"/>
    <w:rsid w:val="004A2896"/>
    <w:rsid w:val="004A315B"/>
    <w:rsid w:val="004A32FE"/>
    <w:rsid w:val="004A55B0"/>
    <w:rsid w:val="004A56E9"/>
    <w:rsid w:val="004B1BF8"/>
    <w:rsid w:val="004B3376"/>
    <w:rsid w:val="004B5237"/>
    <w:rsid w:val="004B782B"/>
    <w:rsid w:val="004B78CF"/>
    <w:rsid w:val="004C1F7A"/>
    <w:rsid w:val="004C2FBB"/>
    <w:rsid w:val="004C406D"/>
    <w:rsid w:val="004C6671"/>
    <w:rsid w:val="004D5B78"/>
    <w:rsid w:val="004E1691"/>
    <w:rsid w:val="004E72F9"/>
    <w:rsid w:val="004F2E47"/>
    <w:rsid w:val="004F5C97"/>
    <w:rsid w:val="004F6110"/>
    <w:rsid w:val="004F708A"/>
    <w:rsid w:val="0050037E"/>
    <w:rsid w:val="00500A07"/>
    <w:rsid w:val="00501905"/>
    <w:rsid w:val="00504DDA"/>
    <w:rsid w:val="005079FC"/>
    <w:rsid w:val="00510C7C"/>
    <w:rsid w:val="00512DE1"/>
    <w:rsid w:val="005133AB"/>
    <w:rsid w:val="00515C62"/>
    <w:rsid w:val="005227D1"/>
    <w:rsid w:val="0052419E"/>
    <w:rsid w:val="0053593F"/>
    <w:rsid w:val="005434E0"/>
    <w:rsid w:val="005445BD"/>
    <w:rsid w:val="005530E5"/>
    <w:rsid w:val="0055387D"/>
    <w:rsid w:val="005619B5"/>
    <w:rsid w:val="00563FF9"/>
    <w:rsid w:val="0056796F"/>
    <w:rsid w:val="00576AA4"/>
    <w:rsid w:val="00577FBD"/>
    <w:rsid w:val="00581C2F"/>
    <w:rsid w:val="005855BD"/>
    <w:rsid w:val="00585C8F"/>
    <w:rsid w:val="00587847"/>
    <w:rsid w:val="005925DF"/>
    <w:rsid w:val="00594534"/>
    <w:rsid w:val="00596C20"/>
    <w:rsid w:val="005A0E50"/>
    <w:rsid w:val="005C0C2E"/>
    <w:rsid w:val="005C10E0"/>
    <w:rsid w:val="005D22EC"/>
    <w:rsid w:val="005D252F"/>
    <w:rsid w:val="005D291F"/>
    <w:rsid w:val="005D6F5D"/>
    <w:rsid w:val="005E264E"/>
    <w:rsid w:val="005E2E74"/>
    <w:rsid w:val="005F0ADD"/>
    <w:rsid w:val="005F27E5"/>
    <w:rsid w:val="005F5033"/>
    <w:rsid w:val="006023D0"/>
    <w:rsid w:val="00605F26"/>
    <w:rsid w:val="0061198E"/>
    <w:rsid w:val="006133F4"/>
    <w:rsid w:val="00616ECA"/>
    <w:rsid w:val="00617662"/>
    <w:rsid w:val="00620C00"/>
    <w:rsid w:val="00622EC7"/>
    <w:rsid w:val="006236AA"/>
    <w:rsid w:val="00630F83"/>
    <w:rsid w:val="00632469"/>
    <w:rsid w:val="00640B1F"/>
    <w:rsid w:val="006411D9"/>
    <w:rsid w:val="00642E5A"/>
    <w:rsid w:val="006443BC"/>
    <w:rsid w:val="00644739"/>
    <w:rsid w:val="00653A90"/>
    <w:rsid w:val="00657A3B"/>
    <w:rsid w:val="00661E18"/>
    <w:rsid w:val="00662911"/>
    <w:rsid w:val="006631C5"/>
    <w:rsid w:val="0066656C"/>
    <w:rsid w:val="00666CA0"/>
    <w:rsid w:val="0068060D"/>
    <w:rsid w:val="0068067E"/>
    <w:rsid w:val="00681C61"/>
    <w:rsid w:val="006845F5"/>
    <w:rsid w:val="00687F01"/>
    <w:rsid w:val="006902CF"/>
    <w:rsid w:val="0069328C"/>
    <w:rsid w:val="00694AC8"/>
    <w:rsid w:val="00696A12"/>
    <w:rsid w:val="006A20D1"/>
    <w:rsid w:val="006A7827"/>
    <w:rsid w:val="006B0EFE"/>
    <w:rsid w:val="006B3990"/>
    <w:rsid w:val="006B49B7"/>
    <w:rsid w:val="006B4EFD"/>
    <w:rsid w:val="006C081D"/>
    <w:rsid w:val="006C3214"/>
    <w:rsid w:val="006C45D1"/>
    <w:rsid w:val="006D2D8C"/>
    <w:rsid w:val="006D48A8"/>
    <w:rsid w:val="006E0107"/>
    <w:rsid w:val="006E0B53"/>
    <w:rsid w:val="006E19E4"/>
    <w:rsid w:val="006E3039"/>
    <w:rsid w:val="006E5EC3"/>
    <w:rsid w:val="006F0356"/>
    <w:rsid w:val="006F0886"/>
    <w:rsid w:val="006F234B"/>
    <w:rsid w:val="006F2F18"/>
    <w:rsid w:val="006F2F8E"/>
    <w:rsid w:val="006F7BE8"/>
    <w:rsid w:val="00704C63"/>
    <w:rsid w:val="00705348"/>
    <w:rsid w:val="00710A42"/>
    <w:rsid w:val="007111A8"/>
    <w:rsid w:val="007133F8"/>
    <w:rsid w:val="007136B9"/>
    <w:rsid w:val="00714248"/>
    <w:rsid w:val="00721009"/>
    <w:rsid w:val="00722948"/>
    <w:rsid w:val="00722EA6"/>
    <w:rsid w:val="007233BC"/>
    <w:rsid w:val="007242F4"/>
    <w:rsid w:val="007255CB"/>
    <w:rsid w:val="00731383"/>
    <w:rsid w:val="00733A04"/>
    <w:rsid w:val="00740D3E"/>
    <w:rsid w:val="00743075"/>
    <w:rsid w:val="00743951"/>
    <w:rsid w:val="00744422"/>
    <w:rsid w:val="00746A72"/>
    <w:rsid w:val="007530AA"/>
    <w:rsid w:val="0075441C"/>
    <w:rsid w:val="007548B5"/>
    <w:rsid w:val="00757D4F"/>
    <w:rsid w:val="0076194F"/>
    <w:rsid w:val="007635F0"/>
    <w:rsid w:val="00764564"/>
    <w:rsid w:val="00764B3D"/>
    <w:rsid w:val="0076569D"/>
    <w:rsid w:val="007670B4"/>
    <w:rsid w:val="00770A9C"/>
    <w:rsid w:val="00770FEF"/>
    <w:rsid w:val="0077124B"/>
    <w:rsid w:val="007728AB"/>
    <w:rsid w:val="007740C3"/>
    <w:rsid w:val="00775AC9"/>
    <w:rsid w:val="00776B29"/>
    <w:rsid w:val="00780822"/>
    <w:rsid w:val="00780A01"/>
    <w:rsid w:val="00782050"/>
    <w:rsid w:val="00782E95"/>
    <w:rsid w:val="00782F81"/>
    <w:rsid w:val="00783EF7"/>
    <w:rsid w:val="007847B0"/>
    <w:rsid w:val="0078545B"/>
    <w:rsid w:val="00791054"/>
    <w:rsid w:val="007965F2"/>
    <w:rsid w:val="0079690F"/>
    <w:rsid w:val="007976A5"/>
    <w:rsid w:val="007A10FD"/>
    <w:rsid w:val="007A1682"/>
    <w:rsid w:val="007A5B1D"/>
    <w:rsid w:val="007A5BF9"/>
    <w:rsid w:val="007A6D30"/>
    <w:rsid w:val="007B052A"/>
    <w:rsid w:val="007B4779"/>
    <w:rsid w:val="007B4CDB"/>
    <w:rsid w:val="007B5267"/>
    <w:rsid w:val="007B5991"/>
    <w:rsid w:val="007B6D05"/>
    <w:rsid w:val="007B7CCD"/>
    <w:rsid w:val="007C734D"/>
    <w:rsid w:val="007C7FAE"/>
    <w:rsid w:val="007D1158"/>
    <w:rsid w:val="007D2528"/>
    <w:rsid w:val="007D34E7"/>
    <w:rsid w:val="007D6816"/>
    <w:rsid w:val="007D6ECE"/>
    <w:rsid w:val="007E0CAE"/>
    <w:rsid w:val="007E1078"/>
    <w:rsid w:val="007E2DB9"/>
    <w:rsid w:val="007E2F9B"/>
    <w:rsid w:val="007E5CC0"/>
    <w:rsid w:val="007F0747"/>
    <w:rsid w:val="007F0C5C"/>
    <w:rsid w:val="007F3866"/>
    <w:rsid w:val="007F3CF7"/>
    <w:rsid w:val="007F6F4A"/>
    <w:rsid w:val="008027E7"/>
    <w:rsid w:val="00804CC6"/>
    <w:rsid w:val="00805FB7"/>
    <w:rsid w:val="008143B4"/>
    <w:rsid w:val="00814A3E"/>
    <w:rsid w:val="00814DFD"/>
    <w:rsid w:val="00816E94"/>
    <w:rsid w:val="00817E05"/>
    <w:rsid w:val="00821541"/>
    <w:rsid w:val="00821FD2"/>
    <w:rsid w:val="00824372"/>
    <w:rsid w:val="00824E5C"/>
    <w:rsid w:val="00826BAD"/>
    <w:rsid w:val="00826FF9"/>
    <w:rsid w:val="0083333C"/>
    <w:rsid w:val="00834679"/>
    <w:rsid w:val="008346A8"/>
    <w:rsid w:val="00834AE4"/>
    <w:rsid w:val="008350BB"/>
    <w:rsid w:val="00840C3A"/>
    <w:rsid w:val="00841088"/>
    <w:rsid w:val="00841EBD"/>
    <w:rsid w:val="00842711"/>
    <w:rsid w:val="00844625"/>
    <w:rsid w:val="008448CC"/>
    <w:rsid w:val="00844ACA"/>
    <w:rsid w:val="008450F1"/>
    <w:rsid w:val="00846F1A"/>
    <w:rsid w:val="008575A2"/>
    <w:rsid w:val="00857CBC"/>
    <w:rsid w:val="008611FB"/>
    <w:rsid w:val="008624AD"/>
    <w:rsid w:val="008709B7"/>
    <w:rsid w:val="00871167"/>
    <w:rsid w:val="00876DDC"/>
    <w:rsid w:val="00883427"/>
    <w:rsid w:val="00883F14"/>
    <w:rsid w:val="00890C19"/>
    <w:rsid w:val="00891593"/>
    <w:rsid w:val="00891854"/>
    <w:rsid w:val="00893BCA"/>
    <w:rsid w:val="008A446B"/>
    <w:rsid w:val="008A46F6"/>
    <w:rsid w:val="008A4ACA"/>
    <w:rsid w:val="008A5182"/>
    <w:rsid w:val="008B3CA8"/>
    <w:rsid w:val="008B5648"/>
    <w:rsid w:val="008B74D7"/>
    <w:rsid w:val="008C2A07"/>
    <w:rsid w:val="008C57EF"/>
    <w:rsid w:val="008D4276"/>
    <w:rsid w:val="008E055C"/>
    <w:rsid w:val="008E0AB4"/>
    <w:rsid w:val="008E0F0E"/>
    <w:rsid w:val="008E1777"/>
    <w:rsid w:val="008E4156"/>
    <w:rsid w:val="008E49BC"/>
    <w:rsid w:val="008E4BBA"/>
    <w:rsid w:val="008E5DE4"/>
    <w:rsid w:val="008E677B"/>
    <w:rsid w:val="008E6919"/>
    <w:rsid w:val="008E7A19"/>
    <w:rsid w:val="008F68D0"/>
    <w:rsid w:val="008F6D15"/>
    <w:rsid w:val="00900BEE"/>
    <w:rsid w:val="00900D11"/>
    <w:rsid w:val="00901D40"/>
    <w:rsid w:val="00903823"/>
    <w:rsid w:val="0090521F"/>
    <w:rsid w:val="00905ED4"/>
    <w:rsid w:val="0091024D"/>
    <w:rsid w:val="0091097C"/>
    <w:rsid w:val="009112A1"/>
    <w:rsid w:val="009233E7"/>
    <w:rsid w:val="00923A6A"/>
    <w:rsid w:val="00925689"/>
    <w:rsid w:val="00927975"/>
    <w:rsid w:val="00927E25"/>
    <w:rsid w:val="00930854"/>
    <w:rsid w:val="00934CA6"/>
    <w:rsid w:val="00941729"/>
    <w:rsid w:val="009429EA"/>
    <w:rsid w:val="00943B52"/>
    <w:rsid w:val="009461C1"/>
    <w:rsid w:val="00950CDB"/>
    <w:rsid w:val="00955F28"/>
    <w:rsid w:val="00963B38"/>
    <w:rsid w:val="00966DB3"/>
    <w:rsid w:val="00967A73"/>
    <w:rsid w:val="00971B36"/>
    <w:rsid w:val="00972EAE"/>
    <w:rsid w:val="0097789D"/>
    <w:rsid w:val="00977AAB"/>
    <w:rsid w:val="00981CAA"/>
    <w:rsid w:val="00983C7F"/>
    <w:rsid w:val="00984C3B"/>
    <w:rsid w:val="0099014C"/>
    <w:rsid w:val="009931FC"/>
    <w:rsid w:val="009A0B46"/>
    <w:rsid w:val="009A15DB"/>
    <w:rsid w:val="009A7567"/>
    <w:rsid w:val="009B1267"/>
    <w:rsid w:val="009B2C10"/>
    <w:rsid w:val="009B3DBB"/>
    <w:rsid w:val="009B4CC6"/>
    <w:rsid w:val="009B5EE8"/>
    <w:rsid w:val="009B7412"/>
    <w:rsid w:val="009C387D"/>
    <w:rsid w:val="009C4CC6"/>
    <w:rsid w:val="009C5077"/>
    <w:rsid w:val="009C7637"/>
    <w:rsid w:val="009C7961"/>
    <w:rsid w:val="009D026E"/>
    <w:rsid w:val="009D67FF"/>
    <w:rsid w:val="009D793E"/>
    <w:rsid w:val="009D79EB"/>
    <w:rsid w:val="009E1CA0"/>
    <w:rsid w:val="009E29D2"/>
    <w:rsid w:val="009E67D7"/>
    <w:rsid w:val="009E7B81"/>
    <w:rsid w:val="009F0BA9"/>
    <w:rsid w:val="009F1091"/>
    <w:rsid w:val="009F24B6"/>
    <w:rsid w:val="009F3259"/>
    <w:rsid w:val="009F3840"/>
    <w:rsid w:val="00A01166"/>
    <w:rsid w:val="00A0145C"/>
    <w:rsid w:val="00A10770"/>
    <w:rsid w:val="00A13E12"/>
    <w:rsid w:val="00A15372"/>
    <w:rsid w:val="00A2116C"/>
    <w:rsid w:val="00A21DBA"/>
    <w:rsid w:val="00A23CFA"/>
    <w:rsid w:val="00A254B5"/>
    <w:rsid w:val="00A312A5"/>
    <w:rsid w:val="00A316ED"/>
    <w:rsid w:val="00A32F0F"/>
    <w:rsid w:val="00A36622"/>
    <w:rsid w:val="00A36F93"/>
    <w:rsid w:val="00A43E05"/>
    <w:rsid w:val="00A47DFB"/>
    <w:rsid w:val="00A52C87"/>
    <w:rsid w:val="00A57330"/>
    <w:rsid w:val="00A61804"/>
    <w:rsid w:val="00A64298"/>
    <w:rsid w:val="00A6545D"/>
    <w:rsid w:val="00A67983"/>
    <w:rsid w:val="00A70985"/>
    <w:rsid w:val="00A76FC6"/>
    <w:rsid w:val="00A803E6"/>
    <w:rsid w:val="00A80EE6"/>
    <w:rsid w:val="00A8123D"/>
    <w:rsid w:val="00A82E17"/>
    <w:rsid w:val="00A832A3"/>
    <w:rsid w:val="00A83596"/>
    <w:rsid w:val="00A87DFA"/>
    <w:rsid w:val="00AA1D81"/>
    <w:rsid w:val="00AA1EAC"/>
    <w:rsid w:val="00AA2DCA"/>
    <w:rsid w:val="00AA4337"/>
    <w:rsid w:val="00AA6977"/>
    <w:rsid w:val="00AA6D7D"/>
    <w:rsid w:val="00AA75CB"/>
    <w:rsid w:val="00AB0671"/>
    <w:rsid w:val="00AB3BDF"/>
    <w:rsid w:val="00AC6F4B"/>
    <w:rsid w:val="00AC7E1E"/>
    <w:rsid w:val="00AD1D35"/>
    <w:rsid w:val="00AD3B3B"/>
    <w:rsid w:val="00AD563E"/>
    <w:rsid w:val="00AD5D59"/>
    <w:rsid w:val="00AD71EA"/>
    <w:rsid w:val="00AE0A6C"/>
    <w:rsid w:val="00AE120B"/>
    <w:rsid w:val="00AE28E4"/>
    <w:rsid w:val="00AE7CDF"/>
    <w:rsid w:val="00AF3DB6"/>
    <w:rsid w:val="00AF6023"/>
    <w:rsid w:val="00AF62CC"/>
    <w:rsid w:val="00B0211E"/>
    <w:rsid w:val="00B02A27"/>
    <w:rsid w:val="00B06C68"/>
    <w:rsid w:val="00B124B9"/>
    <w:rsid w:val="00B21FD4"/>
    <w:rsid w:val="00B228CE"/>
    <w:rsid w:val="00B25379"/>
    <w:rsid w:val="00B25456"/>
    <w:rsid w:val="00B25A60"/>
    <w:rsid w:val="00B345AE"/>
    <w:rsid w:val="00B37EDB"/>
    <w:rsid w:val="00B40614"/>
    <w:rsid w:val="00B4180A"/>
    <w:rsid w:val="00B41CDC"/>
    <w:rsid w:val="00B479C0"/>
    <w:rsid w:val="00B547BC"/>
    <w:rsid w:val="00B70057"/>
    <w:rsid w:val="00B71C66"/>
    <w:rsid w:val="00B71F7D"/>
    <w:rsid w:val="00B72E31"/>
    <w:rsid w:val="00B754B6"/>
    <w:rsid w:val="00B76769"/>
    <w:rsid w:val="00B812E0"/>
    <w:rsid w:val="00B8177B"/>
    <w:rsid w:val="00B84396"/>
    <w:rsid w:val="00B94188"/>
    <w:rsid w:val="00B9601A"/>
    <w:rsid w:val="00BA18B3"/>
    <w:rsid w:val="00BA2A4B"/>
    <w:rsid w:val="00BA69BC"/>
    <w:rsid w:val="00BA7DD3"/>
    <w:rsid w:val="00BB6D27"/>
    <w:rsid w:val="00BC24C2"/>
    <w:rsid w:val="00BC38EA"/>
    <w:rsid w:val="00BC44DA"/>
    <w:rsid w:val="00BC4D10"/>
    <w:rsid w:val="00BC7B58"/>
    <w:rsid w:val="00BC7DD9"/>
    <w:rsid w:val="00BD16C9"/>
    <w:rsid w:val="00BD35E2"/>
    <w:rsid w:val="00BD5E54"/>
    <w:rsid w:val="00BE2A5D"/>
    <w:rsid w:val="00BF2229"/>
    <w:rsid w:val="00BF48E1"/>
    <w:rsid w:val="00C00DE7"/>
    <w:rsid w:val="00C0168F"/>
    <w:rsid w:val="00C04DFA"/>
    <w:rsid w:val="00C0502A"/>
    <w:rsid w:val="00C07BCD"/>
    <w:rsid w:val="00C125F4"/>
    <w:rsid w:val="00C14872"/>
    <w:rsid w:val="00C20DA1"/>
    <w:rsid w:val="00C22482"/>
    <w:rsid w:val="00C27FAE"/>
    <w:rsid w:val="00C30F99"/>
    <w:rsid w:val="00C31C1B"/>
    <w:rsid w:val="00C354AF"/>
    <w:rsid w:val="00C4572F"/>
    <w:rsid w:val="00C460EA"/>
    <w:rsid w:val="00C46638"/>
    <w:rsid w:val="00C51FD5"/>
    <w:rsid w:val="00C65677"/>
    <w:rsid w:val="00C674DA"/>
    <w:rsid w:val="00C70110"/>
    <w:rsid w:val="00C71033"/>
    <w:rsid w:val="00C735E0"/>
    <w:rsid w:val="00C749C8"/>
    <w:rsid w:val="00C762B3"/>
    <w:rsid w:val="00C77182"/>
    <w:rsid w:val="00C774EF"/>
    <w:rsid w:val="00C77811"/>
    <w:rsid w:val="00C77B36"/>
    <w:rsid w:val="00C80519"/>
    <w:rsid w:val="00C814B0"/>
    <w:rsid w:val="00C83162"/>
    <w:rsid w:val="00C84864"/>
    <w:rsid w:val="00C856C3"/>
    <w:rsid w:val="00C86454"/>
    <w:rsid w:val="00C90A16"/>
    <w:rsid w:val="00C90A35"/>
    <w:rsid w:val="00C936CD"/>
    <w:rsid w:val="00C94621"/>
    <w:rsid w:val="00CA12EC"/>
    <w:rsid w:val="00CA1444"/>
    <w:rsid w:val="00CA40C1"/>
    <w:rsid w:val="00CA7DA8"/>
    <w:rsid w:val="00CB0B80"/>
    <w:rsid w:val="00CB31E9"/>
    <w:rsid w:val="00CB35A0"/>
    <w:rsid w:val="00CB3FE2"/>
    <w:rsid w:val="00CB69E2"/>
    <w:rsid w:val="00CC52A5"/>
    <w:rsid w:val="00CC5533"/>
    <w:rsid w:val="00CC585F"/>
    <w:rsid w:val="00CC5CA0"/>
    <w:rsid w:val="00CD1EAF"/>
    <w:rsid w:val="00CD2F99"/>
    <w:rsid w:val="00CD3281"/>
    <w:rsid w:val="00CD5F06"/>
    <w:rsid w:val="00CD6020"/>
    <w:rsid w:val="00CD6C67"/>
    <w:rsid w:val="00CD6F7F"/>
    <w:rsid w:val="00CE2D98"/>
    <w:rsid w:val="00CE7401"/>
    <w:rsid w:val="00CF6503"/>
    <w:rsid w:val="00CF6AE6"/>
    <w:rsid w:val="00CF745A"/>
    <w:rsid w:val="00D00DF9"/>
    <w:rsid w:val="00D00F00"/>
    <w:rsid w:val="00D00F4B"/>
    <w:rsid w:val="00D02723"/>
    <w:rsid w:val="00D04632"/>
    <w:rsid w:val="00D10643"/>
    <w:rsid w:val="00D12494"/>
    <w:rsid w:val="00D16C02"/>
    <w:rsid w:val="00D1755A"/>
    <w:rsid w:val="00D313F0"/>
    <w:rsid w:val="00D32F29"/>
    <w:rsid w:val="00D3613E"/>
    <w:rsid w:val="00D41EA4"/>
    <w:rsid w:val="00D42DFB"/>
    <w:rsid w:val="00D445D2"/>
    <w:rsid w:val="00D454C3"/>
    <w:rsid w:val="00D47128"/>
    <w:rsid w:val="00D55066"/>
    <w:rsid w:val="00D561A9"/>
    <w:rsid w:val="00D60DAE"/>
    <w:rsid w:val="00D62D89"/>
    <w:rsid w:val="00D65277"/>
    <w:rsid w:val="00D73A8E"/>
    <w:rsid w:val="00D756E2"/>
    <w:rsid w:val="00D80E63"/>
    <w:rsid w:val="00D837F0"/>
    <w:rsid w:val="00D853CA"/>
    <w:rsid w:val="00D8543C"/>
    <w:rsid w:val="00D862D0"/>
    <w:rsid w:val="00D868AA"/>
    <w:rsid w:val="00D92E97"/>
    <w:rsid w:val="00D93134"/>
    <w:rsid w:val="00D93D57"/>
    <w:rsid w:val="00D97E0B"/>
    <w:rsid w:val="00DA2512"/>
    <w:rsid w:val="00DA3597"/>
    <w:rsid w:val="00DA4629"/>
    <w:rsid w:val="00DA4657"/>
    <w:rsid w:val="00DB10A5"/>
    <w:rsid w:val="00DB3365"/>
    <w:rsid w:val="00DB6CE2"/>
    <w:rsid w:val="00DC1AC1"/>
    <w:rsid w:val="00DC21DB"/>
    <w:rsid w:val="00DC7CB8"/>
    <w:rsid w:val="00DD1050"/>
    <w:rsid w:val="00DD1453"/>
    <w:rsid w:val="00DD3341"/>
    <w:rsid w:val="00DD50B1"/>
    <w:rsid w:val="00DE402B"/>
    <w:rsid w:val="00DE445C"/>
    <w:rsid w:val="00DE4B37"/>
    <w:rsid w:val="00DE5048"/>
    <w:rsid w:val="00DF0E24"/>
    <w:rsid w:val="00DF5298"/>
    <w:rsid w:val="00DF6424"/>
    <w:rsid w:val="00E014D9"/>
    <w:rsid w:val="00E02FA9"/>
    <w:rsid w:val="00E06A9C"/>
    <w:rsid w:val="00E07CBA"/>
    <w:rsid w:val="00E10757"/>
    <w:rsid w:val="00E12E9E"/>
    <w:rsid w:val="00E20A7F"/>
    <w:rsid w:val="00E2445E"/>
    <w:rsid w:val="00E2542A"/>
    <w:rsid w:val="00E26E2E"/>
    <w:rsid w:val="00E30376"/>
    <w:rsid w:val="00E30B22"/>
    <w:rsid w:val="00E34D09"/>
    <w:rsid w:val="00E3695D"/>
    <w:rsid w:val="00E36FCF"/>
    <w:rsid w:val="00E37867"/>
    <w:rsid w:val="00E466B6"/>
    <w:rsid w:val="00E52163"/>
    <w:rsid w:val="00E5315C"/>
    <w:rsid w:val="00E5325D"/>
    <w:rsid w:val="00E54939"/>
    <w:rsid w:val="00E552FE"/>
    <w:rsid w:val="00E55687"/>
    <w:rsid w:val="00E55937"/>
    <w:rsid w:val="00E562C0"/>
    <w:rsid w:val="00E56F8E"/>
    <w:rsid w:val="00E63AC5"/>
    <w:rsid w:val="00E661C6"/>
    <w:rsid w:val="00E66A16"/>
    <w:rsid w:val="00E672A4"/>
    <w:rsid w:val="00E825D8"/>
    <w:rsid w:val="00E837E1"/>
    <w:rsid w:val="00E83E8D"/>
    <w:rsid w:val="00E87064"/>
    <w:rsid w:val="00E932C3"/>
    <w:rsid w:val="00E94ED1"/>
    <w:rsid w:val="00E9617E"/>
    <w:rsid w:val="00E96358"/>
    <w:rsid w:val="00EA5D1E"/>
    <w:rsid w:val="00EC069D"/>
    <w:rsid w:val="00EC230A"/>
    <w:rsid w:val="00EC438F"/>
    <w:rsid w:val="00EC5612"/>
    <w:rsid w:val="00EC6E47"/>
    <w:rsid w:val="00ED42C2"/>
    <w:rsid w:val="00ED4A9C"/>
    <w:rsid w:val="00ED559B"/>
    <w:rsid w:val="00ED6A15"/>
    <w:rsid w:val="00EE2FAF"/>
    <w:rsid w:val="00EE4D54"/>
    <w:rsid w:val="00EF02DC"/>
    <w:rsid w:val="00F0066B"/>
    <w:rsid w:val="00F045B6"/>
    <w:rsid w:val="00F078FD"/>
    <w:rsid w:val="00F1376D"/>
    <w:rsid w:val="00F16A8A"/>
    <w:rsid w:val="00F17884"/>
    <w:rsid w:val="00F17F1C"/>
    <w:rsid w:val="00F2755E"/>
    <w:rsid w:val="00F31DC3"/>
    <w:rsid w:val="00F35AA0"/>
    <w:rsid w:val="00F4004B"/>
    <w:rsid w:val="00F445DD"/>
    <w:rsid w:val="00F46183"/>
    <w:rsid w:val="00F46712"/>
    <w:rsid w:val="00F47C30"/>
    <w:rsid w:val="00F501E8"/>
    <w:rsid w:val="00F52F3E"/>
    <w:rsid w:val="00F5679E"/>
    <w:rsid w:val="00F57DFA"/>
    <w:rsid w:val="00F65E8F"/>
    <w:rsid w:val="00F7264D"/>
    <w:rsid w:val="00F73A3B"/>
    <w:rsid w:val="00F75D30"/>
    <w:rsid w:val="00F8025A"/>
    <w:rsid w:val="00F80F7A"/>
    <w:rsid w:val="00F81253"/>
    <w:rsid w:val="00F86DE4"/>
    <w:rsid w:val="00F86E93"/>
    <w:rsid w:val="00F90525"/>
    <w:rsid w:val="00F96F34"/>
    <w:rsid w:val="00F97C85"/>
    <w:rsid w:val="00FA20DF"/>
    <w:rsid w:val="00FA639F"/>
    <w:rsid w:val="00FA7C4C"/>
    <w:rsid w:val="00FB3425"/>
    <w:rsid w:val="00FB37F9"/>
    <w:rsid w:val="00FB3802"/>
    <w:rsid w:val="00FB4756"/>
    <w:rsid w:val="00FC1874"/>
    <w:rsid w:val="00FC3764"/>
    <w:rsid w:val="00FC5C2E"/>
    <w:rsid w:val="00FD249A"/>
    <w:rsid w:val="00FD31EF"/>
    <w:rsid w:val="00FD362E"/>
    <w:rsid w:val="00FD3F88"/>
    <w:rsid w:val="00FD6758"/>
    <w:rsid w:val="00FE1284"/>
    <w:rsid w:val="00FE1EA3"/>
    <w:rsid w:val="00FE305C"/>
    <w:rsid w:val="00FE750A"/>
    <w:rsid w:val="00FF1219"/>
    <w:rsid w:val="00FF37A4"/>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34D7D"/>
  <w15:docId w15:val="{A0742994-B255-4298-A261-8A34542C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802"/>
    <w:rPr>
      <w:color w:val="404040" w:themeColor="text1" w:themeTint="BF"/>
      <w:sz w:val="18"/>
    </w:rPr>
  </w:style>
  <w:style w:type="paragraph" w:styleId="Heading1">
    <w:name w:val="heading 1"/>
    <w:basedOn w:val="Normal"/>
    <w:next w:val="Normal"/>
    <w:link w:val="Heading1Char"/>
    <w:uiPriority w:val="9"/>
    <w:qFormat/>
    <w:rsid w:val="00ED4A9C"/>
    <w:pPr>
      <w:keepNext/>
      <w:keepLines/>
      <w:spacing w:before="480" w:after="0"/>
      <w:outlineLvl w:val="0"/>
    </w:pPr>
    <w:rPr>
      <w:rFonts w:eastAsiaTheme="majorEastAsia" w:cstheme="majorBidi"/>
      <w:b/>
      <w:bCs/>
      <w:color w:val="C00000"/>
      <w:sz w:val="26"/>
      <w:szCs w:val="28"/>
    </w:rPr>
  </w:style>
  <w:style w:type="paragraph" w:styleId="Heading2">
    <w:name w:val="heading 2"/>
    <w:basedOn w:val="Normal"/>
    <w:next w:val="Normal"/>
    <w:link w:val="Heading2Char"/>
    <w:uiPriority w:val="9"/>
    <w:unhideWhenUsed/>
    <w:qFormat/>
    <w:rsid w:val="00ED4A9C"/>
    <w:pPr>
      <w:keepNext/>
      <w:keepLines/>
      <w:spacing w:before="200" w:after="0"/>
      <w:outlineLvl w:val="1"/>
    </w:pPr>
    <w:rPr>
      <w:rFonts w:eastAsiaTheme="majorEastAsia" w:cstheme="majorBidi"/>
      <w:b/>
      <w:bCs/>
      <w:color w:val="4F81BD" w:themeColor="accent1"/>
      <w:sz w:val="22"/>
      <w:szCs w:val="26"/>
    </w:rPr>
  </w:style>
  <w:style w:type="paragraph" w:styleId="Heading3">
    <w:name w:val="heading 3"/>
    <w:basedOn w:val="Normal"/>
    <w:next w:val="Normal"/>
    <w:link w:val="Heading3Char"/>
    <w:uiPriority w:val="9"/>
    <w:unhideWhenUsed/>
    <w:qFormat/>
    <w:rsid w:val="00943B52"/>
    <w:pPr>
      <w:keepNext/>
      <w:keepLines/>
      <w:spacing w:before="200" w:after="0"/>
      <w:outlineLvl w:val="2"/>
    </w:pPr>
    <w:rPr>
      <w:rFonts w:asciiTheme="majorHAnsi" w:eastAsiaTheme="majorEastAsia" w:hAnsiTheme="majorHAnsi" w:cstheme="majorBidi"/>
      <w:b/>
      <w:bCs/>
      <w:sz w:val="20"/>
    </w:rPr>
  </w:style>
  <w:style w:type="paragraph" w:styleId="Heading4">
    <w:name w:val="heading 4"/>
    <w:basedOn w:val="Normal"/>
    <w:next w:val="Normal"/>
    <w:link w:val="Heading4Char"/>
    <w:uiPriority w:val="9"/>
    <w:unhideWhenUsed/>
    <w:qFormat/>
    <w:rsid w:val="00AB3BDF"/>
    <w:pPr>
      <w:keepNext/>
      <w:keepLines/>
      <w:spacing w:before="200" w:after="0"/>
      <w:outlineLvl w:val="3"/>
    </w:pPr>
    <w:rPr>
      <w:rFonts w:asciiTheme="majorHAnsi" w:eastAsiaTheme="majorEastAsia" w:hAnsiTheme="majorHAnsi" w:cstheme="majorBidi"/>
      <w:b/>
      <w:bCs/>
      <w:i/>
      <w:i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7E1"/>
    <w:rPr>
      <w:rFonts w:ascii="Tahoma" w:hAnsi="Tahoma" w:cs="Tahoma"/>
      <w:sz w:val="16"/>
      <w:szCs w:val="16"/>
    </w:rPr>
  </w:style>
  <w:style w:type="paragraph" w:styleId="FootnoteText">
    <w:name w:val="footnote text"/>
    <w:basedOn w:val="Normal"/>
    <w:link w:val="FootnoteTextChar"/>
    <w:uiPriority w:val="99"/>
    <w:unhideWhenUsed/>
    <w:rsid w:val="00E837E1"/>
    <w:pPr>
      <w:spacing w:after="0" w:line="240" w:lineRule="auto"/>
    </w:pPr>
    <w:rPr>
      <w:sz w:val="20"/>
      <w:szCs w:val="20"/>
    </w:rPr>
  </w:style>
  <w:style w:type="character" w:customStyle="1" w:styleId="FootnoteTextChar">
    <w:name w:val="Footnote Text Char"/>
    <w:basedOn w:val="DefaultParagraphFont"/>
    <w:link w:val="FootnoteText"/>
    <w:uiPriority w:val="99"/>
    <w:rsid w:val="00E837E1"/>
    <w:rPr>
      <w:sz w:val="20"/>
      <w:szCs w:val="20"/>
    </w:rPr>
  </w:style>
  <w:style w:type="character" w:styleId="FootnoteReference">
    <w:name w:val="footnote reference"/>
    <w:basedOn w:val="DefaultParagraphFont"/>
    <w:uiPriority w:val="99"/>
    <w:unhideWhenUsed/>
    <w:rsid w:val="00E837E1"/>
    <w:rPr>
      <w:vertAlign w:val="superscript"/>
    </w:rPr>
  </w:style>
  <w:style w:type="character" w:styleId="Hyperlink">
    <w:name w:val="Hyperlink"/>
    <w:basedOn w:val="DefaultParagraphFont"/>
    <w:uiPriority w:val="99"/>
    <w:unhideWhenUsed/>
    <w:rsid w:val="00E837E1"/>
    <w:rPr>
      <w:color w:val="0000FF"/>
      <w:u w:val="single"/>
    </w:rPr>
  </w:style>
  <w:style w:type="paragraph" w:styleId="ListParagraph">
    <w:name w:val="List Paragraph"/>
    <w:aliases w:val="Resume Title,Figure_name,List Paragraph1,Bullet- First level,Citation List,Bullets1,Bullets,bullets,Dot pt,No Spacing1,List Paragraph Char Char Char,Indicator Text,Numbered Para 1,List Paragraph12,Bullet Points,MAIN CONTENT,Bullet 1,Ha"/>
    <w:basedOn w:val="Normal"/>
    <w:link w:val="ListParagraphChar"/>
    <w:uiPriority w:val="34"/>
    <w:qFormat/>
    <w:rsid w:val="00E837E1"/>
    <w:pPr>
      <w:ind w:left="720"/>
      <w:contextualSpacing/>
    </w:pPr>
  </w:style>
  <w:style w:type="paragraph" w:styleId="Header">
    <w:name w:val="header"/>
    <w:basedOn w:val="Normal"/>
    <w:link w:val="HeaderChar"/>
    <w:uiPriority w:val="99"/>
    <w:unhideWhenUsed/>
    <w:rsid w:val="004C1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F7A"/>
  </w:style>
  <w:style w:type="paragraph" w:styleId="Footer">
    <w:name w:val="footer"/>
    <w:basedOn w:val="Normal"/>
    <w:link w:val="FooterChar"/>
    <w:uiPriority w:val="99"/>
    <w:unhideWhenUsed/>
    <w:rsid w:val="004C1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F7A"/>
  </w:style>
  <w:style w:type="character" w:styleId="CommentReference">
    <w:name w:val="annotation reference"/>
    <w:basedOn w:val="DefaultParagraphFont"/>
    <w:uiPriority w:val="99"/>
    <w:unhideWhenUsed/>
    <w:rsid w:val="00DD50B1"/>
    <w:rPr>
      <w:sz w:val="16"/>
      <w:szCs w:val="16"/>
    </w:rPr>
  </w:style>
  <w:style w:type="paragraph" w:styleId="CommentText">
    <w:name w:val="annotation text"/>
    <w:basedOn w:val="Normal"/>
    <w:link w:val="CommentTextChar"/>
    <w:uiPriority w:val="99"/>
    <w:unhideWhenUsed/>
    <w:rsid w:val="00DD50B1"/>
    <w:pPr>
      <w:spacing w:line="240" w:lineRule="auto"/>
    </w:pPr>
    <w:rPr>
      <w:sz w:val="20"/>
      <w:szCs w:val="20"/>
    </w:rPr>
  </w:style>
  <w:style w:type="character" w:customStyle="1" w:styleId="CommentTextChar">
    <w:name w:val="Comment Text Char"/>
    <w:basedOn w:val="DefaultParagraphFont"/>
    <w:link w:val="CommentText"/>
    <w:uiPriority w:val="99"/>
    <w:rsid w:val="00DD50B1"/>
    <w:rPr>
      <w:sz w:val="20"/>
      <w:szCs w:val="20"/>
    </w:rPr>
  </w:style>
  <w:style w:type="paragraph" w:styleId="CommentSubject">
    <w:name w:val="annotation subject"/>
    <w:basedOn w:val="CommentText"/>
    <w:next w:val="CommentText"/>
    <w:link w:val="CommentSubjectChar"/>
    <w:uiPriority w:val="99"/>
    <w:semiHidden/>
    <w:unhideWhenUsed/>
    <w:rsid w:val="00DD50B1"/>
    <w:rPr>
      <w:b/>
      <w:bCs/>
    </w:rPr>
  </w:style>
  <w:style w:type="character" w:customStyle="1" w:styleId="CommentSubjectChar">
    <w:name w:val="Comment Subject Char"/>
    <w:basedOn w:val="CommentTextChar"/>
    <w:link w:val="CommentSubject"/>
    <w:uiPriority w:val="99"/>
    <w:semiHidden/>
    <w:rsid w:val="00DD50B1"/>
    <w:rPr>
      <w:b/>
      <w:bCs/>
      <w:sz w:val="20"/>
      <w:szCs w:val="20"/>
    </w:rPr>
  </w:style>
  <w:style w:type="character" w:styleId="PlaceholderText">
    <w:name w:val="Placeholder Text"/>
    <w:basedOn w:val="DefaultParagraphFont"/>
    <w:uiPriority w:val="99"/>
    <w:semiHidden/>
    <w:rsid w:val="003123BC"/>
    <w:rPr>
      <w:color w:val="808080"/>
    </w:rPr>
  </w:style>
  <w:style w:type="paragraph" w:styleId="EndnoteText">
    <w:name w:val="endnote text"/>
    <w:basedOn w:val="Normal"/>
    <w:link w:val="EndnoteTextChar"/>
    <w:uiPriority w:val="99"/>
    <w:semiHidden/>
    <w:unhideWhenUsed/>
    <w:rsid w:val="00D32F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2F29"/>
    <w:rPr>
      <w:sz w:val="20"/>
      <w:szCs w:val="20"/>
    </w:rPr>
  </w:style>
  <w:style w:type="character" w:styleId="EndnoteReference">
    <w:name w:val="endnote reference"/>
    <w:basedOn w:val="DefaultParagraphFont"/>
    <w:uiPriority w:val="99"/>
    <w:semiHidden/>
    <w:unhideWhenUsed/>
    <w:rsid w:val="00D32F29"/>
    <w:rPr>
      <w:vertAlign w:val="superscript"/>
    </w:rPr>
  </w:style>
  <w:style w:type="paragraph" w:styleId="NormalWeb">
    <w:name w:val="Normal (Web)"/>
    <w:basedOn w:val="Normal"/>
    <w:uiPriority w:val="99"/>
    <w:unhideWhenUsed/>
    <w:rsid w:val="00C8486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ED4A9C"/>
    <w:rPr>
      <w:rFonts w:eastAsiaTheme="majorEastAsia" w:cstheme="majorBidi"/>
      <w:b/>
      <w:bCs/>
      <w:color w:val="C00000"/>
      <w:sz w:val="26"/>
      <w:szCs w:val="28"/>
    </w:rPr>
  </w:style>
  <w:style w:type="character" w:customStyle="1" w:styleId="Heading2Char">
    <w:name w:val="Heading 2 Char"/>
    <w:basedOn w:val="DefaultParagraphFont"/>
    <w:link w:val="Heading2"/>
    <w:uiPriority w:val="9"/>
    <w:rsid w:val="00ED4A9C"/>
    <w:rPr>
      <w:rFonts w:eastAsiaTheme="majorEastAsia" w:cstheme="majorBidi"/>
      <w:b/>
      <w:bCs/>
      <w:color w:val="4F81BD" w:themeColor="accent1"/>
      <w:szCs w:val="26"/>
    </w:rPr>
  </w:style>
  <w:style w:type="character" w:customStyle="1" w:styleId="Heading3Char">
    <w:name w:val="Heading 3 Char"/>
    <w:basedOn w:val="DefaultParagraphFont"/>
    <w:link w:val="Heading3"/>
    <w:uiPriority w:val="9"/>
    <w:rsid w:val="007A6D30"/>
    <w:rPr>
      <w:rFonts w:asciiTheme="majorHAnsi" w:eastAsiaTheme="majorEastAsia" w:hAnsiTheme="majorHAnsi" w:cstheme="majorBidi"/>
      <w:b/>
      <w:bCs/>
      <w:sz w:val="20"/>
    </w:rPr>
  </w:style>
  <w:style w:type="character" w:customStyle="1" w:styleId="Heading4Char">
    <w:name w:val="Heading 4 Char"/>
    <w:basedOn w:val="DefaultParagraphFont"/>
    <w:link w:val="Heading4"/>
    <w:uiPriority w:val="9"/>
    <w:rsid w:val="00AB3BDF"/>
    <w:rPr>
      <w:rFonts w:asciiTheme="majorHAnsi" w:eastAsiaTheme="majorEastAsia" w:hAnsiTheme="majorHAnsi" w:cstheme="majorBidi"/>
      <w:b/>
      <w:bCs/>
      <w:i/>
      <w:iCs/>
      <w:color w:val="4F81BD" w:themeColor="accent1"/>
      <w:sz w:val="20"/>
    </w:rPr>
  </w:style>
  <w:style w:type="numbering" w:customStyle="1" w:styleId="Style1">
    <w:name w:val="Style1"/>
    <w:uiPriority w:val="99"/>
    <w:rsid w:val="00AB3BDF"/>
    <w:pPr>
      <w:numPr>
        <w:numId w:val="1"/>
      </w:numPr>
    </w:pPr>
  </w:style>
  <w:style w:type="numbering" w:customStyle="1" w:styleId="Style2">
    <w:name w:val="Style2"/>
    <w:uiPriority w:val="99"/>
    <w:rsid w:val="007A6D30"/>
    <w:pPr>
      <w:numPr>
        <w:numId w:val="2"/>
      </w:numPr>
    </w:pPr>
  </w:style>
  <w:style w:type="paragraph" w:styleId="NoSpacing">
    <w:name w:val="No Spacing"/>
    <w:uiPriority w:val="1"/>
    <w:qFormat/>
    <w:rsid w:val="007A6D30"/>
    <w:pPr>
      <w:spacing w:after="0" w:line="240" w:lineRule="auto"/>
    </w:pPr>
  </w:style>
  <w:style w:type="table" w:styleId="MediumShading2">
    <w:name w:val="Medium Shading 2"/>
    <w:basedOn w:val="TableNormal"/>
    <w:uiPriority w:val="64"/>
    <w:rsid w:val="003E54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qFormat/>
    <w:rsid w:val="00577FBD"/>
    <w:rPr>
      <w:b/>
      <w:iCs/>
      <w:color w:val="FFFFFF" w:themeColor="background1"/>
    </w:rPr>
  </w:style>
  <w:style w:type="character" w:customStyle="1" w:styleId="QuoteChar">
    <w:name w:val="Quote Char"/>
    <w:basedOn w:val="DefaultParagraphFont"/>
    <w:link w:val="Quote"/>
    <w:uiPriority w:val="29"/>
    <w:rsid w:val="00577FBD"/>
    <w:rPr>
      <w:b/>
      <w:iCs/>
      <w:color w:val="FFFFFF" w:themeColor="background1"/>
    </w:rPr>
  </w:style>
  <w:style w:type="character" w:customStyle="1" w:styleId="ListParagraphChar">
    <w:name w:val="List Paragraph Char"/>
    <w:aliases w:val="Resume Title Char,Figure_name Char,List Paragraph1 Char,Bullet- First level Char,Citation List Char,Bullets1 Char,Bullets Char,bullets Char,Dot pt Char,No Spacing1 Char,List Paragraph Char Char Char Char,Indicator Text Char,Ha Char"/>
    <w:basedOn w:val="DefaultParagraphFont"/>
    <w:link w:val="ListParagraph"/>
    <w:uiPriority w:val="34"/>
    <w:rsid w:val="00577FBD"/>
  </w:style>
  <w:style w:type="table" w:styleId="LightShading-Accent2">
    <w:name w:val="Light Shading Accent 2"/>
    <w:basedOn w:val="TableNormal"/>
    <w:uiPriority w:val="60"/>
    <w:rsid w:val="007242F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1">
    <w:name w:val="Medium Shading 2 Accent 1"/>
    <w:basedOn w:val="TableNormal"/>
    <w:uiPriority w:val="64"/>
    <w:rsid w:val="001D30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A13E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ubtitle">
    <w:name w:val="Subtitle"/>
    <w:basedOn w:val="Normal"/>
    <w:next w:val="Normal"/>
    <w:link w:val="SubtitleChar"/>
    <w:autoRedefine/>
    <w:uiPriority w:val="11"/>
    <w:qFormat/>
    <w:rsid w:val="00B228CE"/>
    <w:pPr>
      <w:numPr>
        <w:ilvl w:val="1"/>
      </w:numPr>
    </w:pPr>
    <w:rPr>
      <w:rFonts w:asciiTheme="majorHAnsi" w:eastAsiaTheme="majorEastAsia" w:hAnsiTheme="majorHAnsi" w:cstheme="majorBidi"/>
      <w:i/>
      <w:iCs/>
      <w:color w:val="8B0304"/>
      <w:spacing w:val="15"/>
      <w:sz w:val="22"/>
      <w:szCs w:val="24"/>
      <w:lang w:val="en-IN"/>
    </w:rPr>
  </w:style>
  <w:style w:type="character" w:customStyle="1" w:styleId="SubtitleChar">
    <w:name w:val="Subtitle Char"/>
    <w:basedOn w:val="DefaultParagraphFont"/>
    <w:link w:val="Subtitle"/>
    <w:uiPriority w:val="11"/>
    <w:rsid w:val="00B228CE"/>
    <w:rPr>
      <w:rFonts w:asciiTheme="majorHAnsi" w:eastAsiaTheme="majorEastAsia" w:hAnsiTheme="majorHAnsi" w:cstheme="majorBidi"/>
      <w:i/>
      <w:iCs/>
      <w:color w:val="8B0304"/>
      <w:spacing w:val="15"/>
      <w:szCs w:val="24"/>
      <w:lang w:val="en-IN"/>
    </w:rPr>
  </w:style>
  <w:style w:type="paragraph" w:customStyle="1" w:styleId="Default">
    <w:name w:val="Default"/>
    <w:rsid w:val="00D65277"/>
    <w:pPr>
      <w:autoSpaceDE w:val="0"/>
      <w:autoSpaceDN w:val="0"/>
      <w:adjustRightInd w:val="0"/>
      <w:spacing w:after="0" w:line="240" w:lineRule="auto"/>
    </w:pPr>
    <w:rPr>
      <w:rFonts w:ascii="Times New Roman" w:hAnsi="Times New Roman" w:cs="Times New Roman"/>
      <w:color w:val="000000"/>
      <w:sz w:val="24"/>
      <w:szCs w:val="24"/>
      <w:lang w:val="en-IN"/>
    </w:rPr>
  </w:style>
  <w:style w:type="table" w:styleId="LightGrid-Accent2">
    <w:name w:val="Light Grid Accent 2"/>
    <w:basedOn w:val="TableNormal"/>
    <w:uiPriority w:val="62"/>
    <w:rsid w:val="00D65277"/>
    <w:pPr>
      <w:spacing w:after="0" w:line="240" w:lineRule="auto"/>
    </w:pPr>
    <w:rPr>
      <w:lang w:val="en-I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Footnote">
    <w:name w:val="Footnote"/>
    <w:basedOn w:val="FootnoteText"/>
    <w:link w:val="FootnoteChar"/>
    <w:qFormat/>
    <w:rsid w:val="00196B73"/>
    <w:rPr>
      <w:rFonts w:eastAsiaTheme="minorEastAsia"/>
      <w:color w:val="auto"/>
      <w:sz w:val="16"/>
      <w:szCs w:val="16"/>
      <w:lang w:val="en-IN" w:eastAsia="en-IN"/>
    </w:rPr>
  </w:style>
  <w:style w:type="character" w:customStyle="1" w:styleId="FootnoteChar">
    <w:name w:val="Footnote Char"/>
    <w:basedOn w:val="FootnoteTextChar"/>
    <w:link w:val="Footnote"/>
    <w:rsid w:val="00196B73"/>
    <w:rPr>
      <w:rFonts w:eastAsiaTheme="minorEastAsia"/>
      <w:sz w:val="16"/>
      <w:szCs w:val="16"/>
      <w:lang w:val="en-IN" w:eastAsia="en-IN"/>
    </w:rPr>
  </w:style>
  <w:style w:type="table" w:customStyle="1" w:styleId="GridTable6Colorful-Accent11">
    <w:name w:val="Grid Table 6 Colorful - Accent 11"/>
    <w:basedOn w:val="TableNormal"/>
    <w:uiPriority w:val="51"/>
    <w:rsid w:val="00FF59A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DF642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Caption">
    <w:name w:val="caption"/>
    <w:basedOn w:val="Normal"/>
    <w:next w:val="Normal"/>
    <w:uiPriority w:val="35"/>
    <w:unhideWhenUsed/>
    <w:rsid w:val="000C6209"/>
    <w:pPr>
      <w:spacing w:after="180" w:line="264" w:lineRule="auto"/>
    </w:pPr>
    <w:rPr>
      <w:rFonts w:cs="Times New Roman"/>
      <w:b/>
      <w:bCs/>
      <w:caps/>
      <w:color w:val="auto"/>
      <w:kern w:val="24"/>
      <w:sz w:val="16"/>
      <w:szCs w:val="18"/>
      <w:lang w:eastAsia="ja-JP"/>
    </w:rPr>
  </w:style>
  <w:style w:type="table" w:customStyle="1" w:styleId="LightGrid-Accent22">
    <w:name w:val="Light Grid - Accent 22"/>
    <w:basedOn w:val="TableNormal"/>
    <w:next w:val="LightGrid-Accent2"/>
    <w:uiPriority w:val="62"/>
    <w:rsid w:val="000C6209"/>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Emphasis">
    <w:name w:val="Emphasis"/>
    <w:basedOn w:val="DefaultParagraphFont"/>
    <w:uiPriority w:val="20"/>
    <w:qFormat/>
    <w:rsid w:val="007E0CAE"/>
    <w:rPr>
      <w:i/>
      <w:iCs/>
    </w:rPr>
  </w:style>
  <w:style w:type="character" w:customStyle="1" w:styleId="tgc">
    <w:name w:val="_tgc"/>
    <w:basedOn w:val="DefaultParagraphFont"/>
    <w:rsid w:val="0018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6587">
      <w:bodyDiv w:val="1"/>
      <w:marLeft w:val="0"/>
      <w:marRight w:val="0"/>
      <w:marTop w:val="0"/>
      <w:marBottom w:val="0"/>
      <w:divBdr>
        <w:top w:val="none" w:sz="0" w:space="0" w:color="auto"/>
        <w:left w:val="none" w:sz="0" w:space="0" w:color="auto"/>
        <w:bottom w:val="none" w:sz="0" w:space="0" w:color="auto"/>
        <w:right w:val="none" w:sz="0" w:space="0" w:color="auto"/>
      </w:divBdr>
    </w:div>
    <w:div w:id="104233555">
      <w:bodyDiv w:val="1"/>
      <w:marLeft w:val="0"/>
      <w:marRight w:val="0"/>
      <w:marTop w:val="0"/>
      <w:marBottom w:val="0"/>
      <w:divBdr>
        <w:top w:val="none" w:sz="0" w:space="0" w:color="auto"/>
        <w:left w:val="none" w:sz="0" w:space="0" w:color="auto"/>
        <w:bottom w:val="none" w:sz="0" w:space="0" w:color="auto"/>
        <w:right w:val="none" w:sz="0" w:space="0" w:color="auto"/>
      </w:divBdr>
    </w:div>
    <w:div w:id="110830282">
      <w:bodyDiv w:val="1"/>
      <w:marLeft w:val="0"/>
      <w:marRight w:val="0"/>
      <w:marTop w:val="0"/>
      <w:marBottom w:val="0"/>
      <w:divBdr>
        <w:top w:val="none" w:sz="0" w:space="0" w:color="auto"/>
        <w:left w:val="none" w:sz="0" w:space="0" w:color="auto"/>
        <w:bottom w:val="none" w:sz="0" w:space="0" w:color="auto"/>
        <w:right w:val="none" w:sz="0" w:space="0" w:color="auto"/>
      </w:divBdr>
    </w:div>
    <w:div w:id="222184084">
      <w:bodyDiv w:val="1"/>
      <w:marLeft w:val="0"/>
      <w:marRight w:val="0"/>
      <w:marTop w:val="0"/>
      <w:marBottom w:val="0"/>
      <w:divBdr>
        <w:top w:val="none" w:sz="0" w:space="0" w:color="auto"/>
        <w:left w:val="none" w:sz="0" w:space="0" w:color="auto"/>
        <w:bottom w:val="none" w:sz="0" w:space="0" w:color="auto"/>
        <w:right w:val="none" w:sz="0" w:space="0" w:color="auto"/>
      </w:divBdr>
    </w:div>
    <w:div w:id="262110772">
      <w:bodyDiv w:val="1"/>
      <w:marLeft w:val="0"/>
      <w:marRight w:val="0"/>
      <w:marTop w:val="0"/>
      <w:marBottom w:val="0"/>
      <w:divBdr>
        <w:top w:val="none" w:sz="0" w:space="0" w:color="auto"/>
        <w:left w:val="none" w:sz="0" w:space="0" w:color="auto"/>
        <w:bottom w:val="none" w:sz="0" w:space="0" w:color="auto"/>
        <w:right w:val="none" w:sz="0" w:space="0" w:color="auto"/>
      </w:divBdr>
    </w:div>
    <w:div w:id="302589962">
      <w:bodyDiv w:val="1"/>
      <w:marLeft w:val="0"/>
      <w:marRight w:val="0"/>
      <w:marTop w:val="0"/>
      <w:marBottom w:val="0"/>
      <w:divBdr>
        <w:top w:val="none" w:sz="0" w:space="0" w:color="auto"/>
        <w:left w:val="none" w:sz="0" w:space="0" w:color="auto"/>
        <w:bottom w:val="none" w:sz="0" w:space="0" w:color="auto"/>
        <w:right w:val="none" w:sz="0" w:space="0" w:color="auto"/>
      </w:divBdr>
    </w:div>
    <w:div w:id="395667573">
      <w:bodyDiv w:val="1"/>
      <w:marLeft w:val="0"/>
      <w:marRight w:val="0"/>
      <w:marTop w:val="0"/>
      <w:marBottom w:val="0"/>
      <w:divBdr>
        <w:top w:val="none" w:sz="0" w:space="0" w:color="auto"/>
        <w:left w:val="none" w:sz="0" w:space="0" w:color="auto"/>
        <w:bottom w:val="none" w:sz="0" w:space="0" w:color="auto"/>
        <w:right w:val="none" w:sz="0" w:space="0" w:color="auto"/>
      </w:divBdr>
    </w:div>
    <w:div w:id="432290125">
      <w:bodyDiv w:val="1"/>
      <w:marLeft w:val="0"/>
      <w:marRight w:val="0"/>
      <w:marTop w:val="0"/>
      <w:marBottom w:val="0"/>
      <w:divBdr>
        <w:top w:val="none" w:sz="0" w:space="0" w:color="auto"/>
        <w:left w:val="none" w:sz="0" w:space="0" w:color="auto"/>
        <w:bottom w:val="none" w:sz="0" w:space="0" w:color="auto"/>
        <w:right w:val="none" w:sz="0" w:space="0" w:color="auto"/>
      </w:divBdr>
    </w:div>
    <w:div w:id="447550651">
      <w:bodyDiv w:val="1"/>
      <w:marLeft w:val="0"/>
      <w:marRight w:val="0"/>
      <w:marTop w:val="0"/>
      <w:marBottom w:val="0"/>
      <w:divBdr>
        <w:top w:val="none" w:sz="0" w:space="0" w:color="auto"/>
        <w:left w:val="none" w:sz="0" w:space="0" w:color="auto"/>
        <w:bottom w:val="none" w:sz="0" w:space="0" w:color="auto"/>
        <w:right w:val="none" w:sz="0" w:space="0" w:color="auto"/>
      </w:divBdr>
    </w:div>
    <w:div w:id="556208357">
      <w:bodyDiv w:val="1"/>
      <w:marLeft w:val="0"/>
      <w:marRight w:val="0"/>
      <w:marTop w:val="0"/>
      <w:marBottom w:val="0"/>
      <w:divBdr>
        <w:top w:val="none" w:sz="0" w:space="0" w:color="auto"/>
        <w:left w:val="none" w:sz="0" w:space="0" w:color="auto"/>
        <w:bottom w:val="none" w:sz="0" w:space="0" w:color="auto"/>
        <w:right w:val="none" w:sz="0" w:space="0" w:color="auto"/>
      </w:divBdr>
    </w:div>
    <w:div w:id="676881063">
      <w:bodyDiv w:val="1"/>
      <w:marLeft w:val="0"/>
      <w:marRight w:val="0"/>
      <w:marTop w:val="0"/>
      <w:marBottom w:val="0"/>
      <w:divBdr>
        <w:top w:val="none" w:sz="0" w:space="0" w:color="auto"/>
        <w:left w:val="none" w:sz="0" w:space="0" w:color="auto"/>
        <w:bottom w:val="none" w:sz="0" w:space="0" w:color="auto"/>
        <w:right w:val="none" w:sz="0" w:space="0" w:color="auto"/>
      </w:divBdr>
    </w:div>
    <w:div w:id="677541164">
      <w:bodyDiv w:val="1"/>
      <w:marLeft w:val="0"/>
      <w:marRight w:val="0"/>
      <w:marTop w:val="0"/>
      <w:marBottom w:val="0"/>
      <w:divBdr>
        <w:top w:val="none" w:sz="0" w:space="0" w:color="auto"/>
        <w:left w:val="none" w:sz="0" w:space="0" w:color="auto"/>
        <w:bottom w:val="none" w:sz="0" w:space="0" w:color="auto"/>
        <w:right w:val="none" w:sz="0" w:space="0" w:color="auto"/>
      </w:divBdr>
    </w:div>
    <w:div w:id="847250176">
      <w:bodyDiv w:val="1"/>
      <w:marLeft w:val="0"/>
      <w:marRight w:val="0"/>
      <w:marTop w:val="0"/>
      <w:marBottom w:val="0"/>
      <w:divBdr>
        <w:top w:val="none" w:sz="0" w:space="0" w:color="auto"/>
        <w:left w:val="none" w:sz="0" w:space="0" w:color="auto"/>
        <w:bottom w:val="none" w:sz="0" w:space="0" w:color="auto"/>
        <w:right w:val="none" w:sz="0" w:space="0" w:color="auto"/>
      </w:divBdr>
    </w:div>
    <w:div w:id="873923952">
      <w:bodyDiv w:val="1"/>
      <w:marLeft w:val="0"/>
      <w:marRight w:val="0"/>
      <w:marTop w:val="0"/>
      <w:marBottom w:val="0"/>
      <w:divBdr>
        <w:top w:val="none" w:sz="0" w:space="0" w:color="auto"/>
        <w:left w:val="none" w:sz="0" w:space="0" w:color="auto"/>
        <w:bottom w:val="none" w:sz="0" w:space="0" w:color="auto"/>
        <w:right w:val="none" w:sz="0" w:space="0" w:color="auto"/>
      </w:divBdr>
    </w:div>
    <w:div w:id="929124574">
      <w:bodyDiv w:val="1"/>
      <w:marLeft w:val="0"/>
      <w:marRight w:val="0"/>
      <w:marTop w:val="0"/>
      <w:marBottom w:val="0"/>
      <w:divBdr>
        <w:top w:val="none" w:sz="0" w:space="0" w:color="auto"/>
        <w:left w:val="none" w:sz="0" w:space="0" w:color="auto"/>
        <w:bottom w:val="none" w:sz="0" w:space="0" w:color="auto"/>
        <w:right w:val="none" w:sz="0" w:space="0" w:color="auto"/>
      </w:divBdr>
      <w:divsChild>
        <w:div w:id="466629249">
          <w:marLeft w:val="547"/>
          <w:marRight w:val="0"/>
          <w:marTop w:val="0"/>
          <w:marBottom w:val="0"/>
          <w:divBdr>
            <w:top w:val="none" w:sz="0" w:space="0" w:color="auto"/>
            <w:left w:val="none" w:sz="0" w:space="0" w:color="auto"/>
            <w:bottom w:val="none" w:sz="0" w:space="0" w:color="auto"/>
            <w:right w:val="none" w:sz="0" w:space="0" w:color="auto"/>
          </w:divBdr>
        </w:div>
        <w:div w:id="526719575">
          <w:marLeft w:val="547"/>
          <w:marRight w:val="0"/>
          <w:marTop w:val="0"/>
          <w:marBottom w:val="0"/>
          <w:divBdr>
            <w:top w:val="none" w:sz="0" w:space="0" w:color="auto"/>
            <w:left w:val="none" w:sz="0" w:space="0" w:color="auto"/>
            <w:bottom w:val="none" w:sz="0" w:space="0" w:color="auto"/>
            <w:right w:val="none" w:sz="0" w:space="0" w:color="auto"/>
          </w:divBdr>
        </w:div>
        <w:div w:id="649290714">
          <w:marLeft w:val="547"/>
          <w:marRight w:val="0"/>
          <w:marTop w:val="0"/>
          <w:marBottom w:val="0"/>
          <w:divBdr>
            <w:top w:val="none" w:sz="0" w:space="0" w:color="auto"/>
            <w:left w:val="none" w:sz="0" w:space="0" w:color="auto"/>
            <w:bottom w:val="none" w:sz="0" w:space="0" w:color="auto"/>
            <w:right w:val="none" w:sz="0" w:space="0" w:color="auto"/>
          </w:divBdr>
        </w:div>
      </w:divsChild>
    </w:div>
    <w:div w:id="1013997217">
      <w:bodyDiv w:val="1"/>
      <w:marLeft w:val="0"/>
      <w:marRight w:val="0"/>
      <w:marTop w:val="0"/>
      <w:marBottom w:val="0"/>
      <w:divBdr>
        <w:top w:val="none" w:sz="0" w:space="0" w:color="auto"/>
        <w:left w:val="none" w:sz="0" w:space="0" w:color="auto"/>
        <w:bottom w:val="none" w:sz="0" w:space="0" w:color="auto"/>
        <w:right w:val="none" w:sz="0" w:space="0" w:color="auto"/>
      </w:divBdr>
    </w:div>
    <w:div w:id="1037777478">
      <w:bodyDiv w:val="1"/>
      <w:marLeft w:val="0"/>
      <w:marRight w:val="0"/>
      <w:marTop w:val="0"/>
      <w:marBottom w:val="0"/>
      <w:divBdr>
        <w:top w:val="none" w:sz="0" w:space="0" w:color="auto"/>
        <w:left w:val="none" w:sz="0" w:space="0" w:color="auto"/>
        <w:bottom w:val="none" w:sz="0" w:space="0" w:color="auto"/>
        <w:right w:val="none" w:sz="0" w:space="0" w:color="auto"/>
      </w:divBdr>
    </w:div>
    <w:div w:id="1042677877">
      <w:bodyDiv w:val="1"/>
      <w:marLeft w:val="0"/>
      <w:marRight w:val="0"/>
      <w:marTop w:val="0"/>
      <w:marBottom w:val="0"/>
      <w:divBdr>
        <w:top w:val="none" w:sz="0" w:space="0" w:color="auto"/>
        <w:left w:val="none" w:sz="0" w:space="0" w:color="auto"/>
        <w:bottom w:val="none" w:sz="0" w:space="0" w:color="auto"/>
        <w:right w:val="none" w:sz="0" w:space="0" w:color="auto"/>
      </w:divBdr>
    </w:div>
    <w:div w:id="1110272989">
      <w:bodyDiv w:val="1"/>
      <w:marLeft w:val="0"/>
      <w:marRight w:val="0"/>
      <w:marTop w:val="0"/>
      <w:marBottom w:val="0"/>
      <w:divBdr>
        <w:top w:val="none" w:sz="0" w:space="0" w:color="auto"/>
        <w:left w:val="none" w:sz="0" w:space="0" w:color="auto"/>
        <w:bottom w:val="none" w:sz="0" w:space="0" w:color="auto"/>
        <w:right w:val="none" w:sz="0" w:space="0" w:color="auto"/>
      </w:divBdr>
    </w:div>
    <w:div w:id="1121343119">
      <w:bodyDiv w:val="1"/>
      <w:marLeft w:val="0"/>
      <w:marRight w:val="0"/>
      <w:marTop w:val="0"/>
      <w:marBottom w:val="0"/>
      <w:divBdr>
        <w:top w:val="none" w:sz="0" w:space="0" w:color="auto"/>
        <w:left w:val="none" w:sz="0" w:space="0" w:color="auto"/>
        <w:bottom w:val="none" w:sz="0" w:space="0" w:color="auto"/>
        <w:right w:val="none" w:sz="0" w:space="0" w:color="auto"/>
      </w:divBdr>
    </w:div>
    <w:div w:id="1143276250">
      <w:bodyDiv w:val="1"/>
      <w:marLeft w:val="0"/>
      <w:marRight w:val="0"/>
      <w:marTop w:val="0"/>
      <w:marBottom w:val="0"/>
      <w:divBdr>
        <w:top w:val="none" w:sz="0" w:space="0" w:color="auto"/>
        <w:left w:val="none" w:sz="0" w:space="0" w:color="auto"/>
        <w:bottom w:val="none" w:sz="0" w:space="0" w:color="auto"/>
        <w:right w:val="none" w:sz="0" w:space="0" w:color="auto"/>
      </w:divBdr>
    </w:div>
    <w:div w:id="1156414361">
      <w:bodyDiv w:val="1"/>
      <w:marLeft w:val="0"/>
      <w:marRight w:val="0"/>
      <w:marTop w:val="0"/>
      <w:marBottom w:val="0"/>
      <w:divBdr>
        <w:top w:val="none" w:sz="0" w:space="0" w:color="auto"/>
        <w:left w:val="none" w:sz="0" w:space="0" w:color="auto"/>
        <w:bottom w:val="none" w:sz="0" w:space="0" w:color="auto"/>
        <w:right w:val="none" w:sz="0" w:space="0" w:color="auto"/>
      </w:divBdr>
    </w:div>
    <w:div w:id="1268193975">
      <w:bodyDiv w:val="1"/>
      <w:marLeft w:val="0"/>
      <w:marRight w:val="0"/>
      <w:marTop w:val="0"/>
      <w:marBottom w:val="0"/>
      <w:divBdr>
        <w:top w:val="none" w:sz="0" w:space="0" w:color="auto"/>
        <w:left w:val="none" w:sz="0" w:space="0" w:color="auto"/>
        <w:bottom w:val="none" w:sz="0" w:space="0" w:color="auto"/>
        <w:right w:val="none" w:sz="0" w:space="0" w:color="auto"/>
      </w:divBdr>
      <w:divsChild>
        <w:div w:id="1611818279">
          <w:marLeft w:val="792"/>
          <w:marRight w:val="0"/>
          <w:marTop w:val="0"/>
          <w:marBottom w:val="0"/>
          <w:divBdr>
            <w:top w:val="none" w:sz="0" w:space="0" w:color="auto"/>
            <w:left w:val="none" w:sz="0" w:space="0" w:color="auto"/>
            <w:bottom w:val="none" w:sz="0" w:space="0" w:color="auto"/>
            <w:right w:val="none" w:sz="0" w:space="0" w:color="auto"/>
          </w:divBdr>
        </w:div>
        <w:div w:id="360666154">
          <w:marLeft w:val="792"/>
          <w:marRight w:val="0"/>
          <w:marTop w:val="0"/>
          <w:marBottom w:val="0"/>
          <w:divBdr>
            <w:top w:val="none" w:sz="0" w:space="0" w:color="auto"/>
            <w:left w:val="none" w:sz="0" w:space="0" w:color="auto"/>
            <w:bottom w:val="none" w:sz="0" w:space="0" w:color="auto"/>
            <w:right w:val="none" w:sz="0" w:space="0" w:color="auto"/>
          </w:divBdr>
        </w:div>
        <w:div w:id="198397049">
          <w:marLeft w:val="792"/>
          <w:marRight w:val="0"/>
          <w:marTop w:val="0"/>
          <w:marBottom w:val="0"/>
          <w:divBdr>
            <w:top w:val="none" w:sz="0" w:space="0" w:color="auto"/>
            <w:left w:val="none" w:sz="0" w:space="0" w:color="auto"/>
            <w:bottom w:val="none" w:sz="0" w:space="0" w:color="auto"/>
            <w:right w:val="none" w:sz="0" w:space="0" w:color="auto"/>
          </w:divBdr>
        </w:div>
      </w:divsChild>
    </w:div>
    <w:div w:id="1293438058">
      <w:bodyDiv w:val="1"/>
      <w:marLeft w:val="0"/>
      <w:marRight w:val="0"/>
      <w:marTop w:val="0"/>
      <w:marBottom w:val="0"/>
      <w:divBdr>
        <w:top w:val="none" w:sz="0" w:space="0" w:color="auto"/>
        <w:left w:val="none" w:sz="0" w:space="0" w:color="auto"/>
        <w:bottom w:val="none" w:sz="0" w:space="0" w:color="auto"/>
        <w:right w:val="none" w:sz="0" w:space="0" w:color="auto"/>
      </w:divBdr>
      <w:divsChild>
        <w:div w:id="552548353">
          <w:marLeft w:val="792"/>
          <w:marRight w:val="0"/>
          <w:marTop w:val="0"/>
          <w:marBottom w:val="0"/>
          <w:divBdr>
            <w:top w:val="none" w:sz="0" w:space="0" w:color="auto"/>
            <w:left w:val="none" w:sz="0" w:space="0" w:color="auto"/>
            <w:bottom w:val="none" w:sz="0" w:space="0" w:color="auto"/>
            <w:right w:val="none" w:sz="0" w:space="0" w:color="auto"/>
          </w:divBdr>
        </w:div>
        <w:div w:id="1606764336">
          <w:marLeft w:val="792"/>
          <w:marRight w:val="0"/>
          <w:marTop w:val="0"/>
          <w:marBottom w:val="0"/>
          <w:divBdr>
            <w:top w:val="none" w:sz="0" w:space="0" w:color="auto"/>
            <w:left w:val="none" w:sz="0" w:space="0" w:color="auto"/>
            <w:bottom w:val="none" w:sz="0" w:space="0" w:color="auto"/>
            <w:right w:val="none" w:sz="0" w:space="0" w:color="auto"/>
          </w:divBdr>
        </w:div>
        <w:div w:id="779767018">
          <w:marLeft w:val="792"/>
          <w:marRight w:val="0"/>
          <w:marTop w:val="0"/>
          <w:marBottom w:val="0"/>
          <w:divBdr>
            <w:top w:val="none" w:sz="0" w:space="0" w:color="auto"/>
            <w:left w:val="none" w:sz="0" w:space="0" w:color="auto"/>
            <w:bottom w:val="none" w:sz="0" w:space="0" w:color="auto"/>
            <w:right w:val="none" w:sz="0" w:space="0" w:color="auto"/>
          </w:divBdr>
        </w:div>
        <w:div w:id="507215634">
          <w:marLeft w:val="792"/>
          <w:marRight w:val="0"/>
          <w:marTop w:val="0"/>
          <w:marBottom w:val="0"/>
          <w:divBdr>
            <w:top w:val="none" w:sz="0" w:space="0" w:color="auto"/>
            <w:left w:val="none" w:sz="0" w:space="0" w:color="auto"/>
            <w:bottom w:val="none" w:sz="0" w:space="0" w:color="auto"/>
            <w:right w:val="none" w:sz="0" w:space="0" w:color="auto"/>
          </w:divBdr>
        </w:div>
        <w:div w:id="870915806">
          <w:marLeft w:val="792"/>
          <w:marRight w:val="0"/>
          <w:marTop w:val="0"/>
          <w:marBottom w:val="0"/>
          <w:divBdr>
            <w:top w:val="none" w:sz="0" w:space="0" w:color="auto"/>
            <w:left w:val="none" w:sz="0" w:space="0" w:color="auto"/>
            <w:bottom w:val="none" w:sz="0" w:space="0" w:color="auto"/>
            <w:right w:val="none" w:sz="0" w:space="0" w:color="auto"/>
          </w:divBdr>
        </w:div>
      </w:divsChild>
    </w:div>
    <w:div w:id="1322390335">
      <w:bodyDiv w:val="1"/>
      <w:marLeft w:val="0"/>
      <w:marRight w:val="0"/>
      <w:marTop w:val="0"/>
      <w:marBottom w:val="0"/>
      <w:divBdr>
        <w:top w:val="none" w:sz="0" w:space="0" w:color="auto"/>
        <w:left w:val="none" w:sz="0" w:space="0" w:color="auto"/>
        <w:bottom w:val="none" w:sz="0" w:space="0" w:color="auto"/>
        <w:right w:val="none" w:sz="0" w:space="0" w:color="auto"/>
      </w:divBdr>
    </w:div>
    <w:div w:id="1381443192">
      <w:bodyDiv w:val="1"/>
      <w:marLeft w:val="0"/>
      <w:marRight w:val="0"/>
      <w:marTop w:val="0"/>
      <w:marBottom w:val="0"/>
      <w:divBdr>
        <w:top w:val="none" w:sz="0" w:space="0" w:color="auto"/>
        <w:left w:val="none" w:sz="0" w:space="0" w:color="auto"/>
        <w:bottom w:val="none" w:sz="0" w:space="0" w:color="auto"/>
        <w:right w:val="none" w:sz="0" w:space="0" w:color="auto"/>
      </w:divBdr>
    </w:div>
    <w:div w:id="1404446407">
      <w:bodyDiv w:val="1"/>
      <w:marLeft w:val="0"/>
      <w:marRight w:val="0"/>
      <w:marTop w:val="0"/>
      <w:marBottom w:val="0"/>
      <w:divBdr>
        <w:top w:val="none" w:sz="0" w:space="0" w:color="auto"/>
        <w:left w:val="none" w:sz="0" w:space="0" w:color="auto"/>
        <w:bottom w:val="none" w:sz="0" w:space="0" w:color="auto"/>
        <w:right w:val="none" w:sz="0" w:space="0" w:color="auto"/>
      </w:divBdr>
    </w:div>
    <w:div w:id="1446999874">
      <w:bodyDiv w:val="1"/>
      <w:marLeft w:val="0"/>
      <w:marRight w:val="0"/>
      <w:marTop w:val="0"/>
      <w:marBottom w:val="0"/>
      <w:divBdr>
        <w:top w:val="none" w:sz="0" w:space="0" w:color="auto"/>
        <w:left w:val="none" w:sz="0" w:space="0" w:color="auto"/>
        <w:bottom w:val="none" w:sz="0" w:space="0" w:color="auto"/>
        <w:right w:val="none" w:sz="0" w:space="0" w:color="auto"/>
      </w:divBdr>
      <w:divsChild>
        <w:div w:id="66922965">
          <w:marLeft w:val="0"/>
          <w:marRight w:val="0"/>
          <w:marTop w:val="0"/>
          <w:marBottom w:val="0"/>
          <w:divBdr>
            <w:top w:val="none" w:sz="0" w:space="0" w:color="auto"/>
            <w:left w:val="none" w:sz="0" w:space="0" w:color="auto"/>
            <w:bottom w:val="none" w:sz="0" w:space="0" w:color="auto"/>
            <w:right w:val="none" w:sz="0" w:space="0" w:color="auto"/>
          </w:divBdr>
        </w:div>
      </w:divsChild>
    </w:div>
    <w:div w:id="1475757327">
      <w:bodyDiv w:val="1"/>
      <w:marLeft w:val="0"/>
      <w:marRight w:val="0"/>
      <w:marTop w:val="0"/>
      <w:marBottom w:val="0"/>
      <w:divBdr>
        <w:top w:val="none" w:sz="0" w:space="0" w:color="auto"/>
        <w:left w:val="none" w:sz="0" w:space="0" w:color="auto"/>
        <w:bottom w:val="none" w:sz="0" w:space="0" w:color="auto"/>
        <w:right w:val="none" w:sz="0" w:space="0" w:color="auto"/>
      </w:divBdr>
    </w:div>
    <w:div w:id="1512377715">
      <w:bodyDiv w:val="1"/>
      <w:marLeft w:val="0"/>
      <w:marRight w:val="0"/>
      <w:marTop w:val="0"/>
      <w:marBottom w:val="0"/>
      <w:divBdr>
        <w:top w:val="none" w:sz="0" w:space="0" w:color="auto"/>
        <w:left w:val="none" w:sz="0" w:space="0" w:color="auto"/>
        <w:bottom w:val="none" w:sz="0" w:space="0" w:color="auto"/>
        <w:right w:val="none" w:sz="0" w:space="0" w:color="auto"/>
      </w:divBdr>
    </w:div>
    <w:div w:id="1533107727">
      <w:bodyDiv w:val="1"/>
      <w:marLeft w:val="0"/>
      <w:marRight w:val="0"/>
      <w:marTop w:val="0"/>
      <w:marBottom w:val="0"/>
      <w:divBdr>
        <w:top w:val="none" w:sz="0" w:space="0" w:color="auto"/>
        <w:left w:val="none" w:sz="0" w:space="0" w:color="auto"/>
        <w:bottom w:val="none" w:sz="0" w:space="0" w:color="auto"/>
        <w:right w:val="none" w:sz="0" w:space="0" w:color="auto"/>
      </w:divBdr>
    </w:div>
    <w:div w:id="1589264999">
      <w:bodyDiv w:val="1"/>
      <w:marLeft w:val="0"/>
      <w:marRight w:val="0"/>
      <w:marTop w:val="0"/>
      <w:marBottom w:val="0"/>
      <w:divBdr>
        <w:top w:val="none" w:sz="0" w:space="0" w:color="auto"/>
        <w:left w:val="none" w:sz="0" w:space="0" w:color="auto"/>
        <w:bottom w:val="none" w:sz="0" w:space="0" w:color="auto"/>
        <w:right w:val="none" w:sz="0" w:space="0" w:color="auto"/>
      </w:divBdr>
    </w:div>
    <w:div w:id="1809472435">
      <w:bodyDiv w:val="1"/>
      <w:marLeft w:val="0"/>
      <w:marRight w:val="0"/>
      <w:marTop w:val="0"/>
      <w:marBottom w:val="0"/>
      <w:divBdr>
        <w:top w:val="none" w:sz="0" w:space="0" w:color="auto"/>
        <w:left w:val="none" w:sz="0" w:space="0" w:color="auto"/>
        <w:bottom w:val="none" w:sz="0" w:space="0" w:color="auto"/>
        <w:right w:val="none" w:sz="0" w:space="0" w:color="auto"/>
      </w:divBdr>
    </w:div>
    <w:div w:id="1855269818">
      <w:bodyDiv w:val="1"/>
      <w:marLeft w:val="0"/>
      <w:marRight w:val="0"/>
      <w:marTop w:val="0"/>
      <w:marBottom w:val="0"/>
      <w:divBdr>
        <w:top w:val="none" w:sz="0" w:space="0" w:color="auto"/>
        <w:left w:val="none" w:sz="0" w:space="0" w:color="auto"/>
        <w:bottom w:val="none" w:sz="0" w:space="0" w:color="auto"/>
        <w:right w:val="none" w:sz="0" w:space="0" w:color="auto"/>
      </w:divBdr>
    </w:div>
    <w:div w:id="1880126530">
      <w:bodyDiv w:val="1"/>
      <w:marLeft w:val="0"/>
      <w:marRight w:val="0"/>
      <w:marTop w:val="0"/>
      <w:marBottom w:val="0"/>
      <w:divBdr>
        <w:top w:val="none" w:sz="0" w:space="0" w:color="auto"/>
        <w:left w:val="none" w:sz="0" w:space="0" w:color="auto"/>
        <w:bottom w:val="none" w:sz="0" w:space="0" w:color="auto"/>
        <w:right w:val="none" w:sz="0" w:space="0" w:color="auto"/>
      </w:divBdr>
    </w:div>
    <w:div w:id="1934051016">
      <w:bodyDiv w:val="1"/>
      <w:marLeft w:val="0"/>
      <w:marRight w:val="0"/>
      <w:marTop w:val="0"/>
      <w:marBottom w:val="0"/>
      <w:divBdr>
        <w:top w:val="none" w:sz="0" w:space="0" w:color="auto"/>
        <w:left w:val="none" w:sz="0" w:space="0" w:color="auto"/>
        <w:bottom w:val="none" w:sz="0" w:space="0" w:color="auto"/>
        <w:right w:val="none" w:sz="0" w:space="0" w:color="auto"/>
      </w:divBdr>
    </w:div>
    <w:div w:id="1977251219">
      <w:bodyDiv w:val="1"/>
      <w:marLeft w:val="0"/>
      <w:marRight w:val="0"/>
      <w:marTop w:val="0"/>
      <w:marBottom w:val="0"/>
      <w:divBdr>
        <w:top w:val="none" w:sz="0" w:space="0" w:color="auto"/>
        <w:left w:val="none" w:sz="0" w:space="0" w:color="auto"/>
        <w:bottom w:val="none" w:sz="0" w:space="0" w:color="auto"/>
        <w:right w:val="none" w:sz="0" w:space="0" w:color="auto"/>
      </w:divBdr>
    </w:div>
    <w:div w:id="2007126140">
      <w:bodyDiv w:val="1"/>
      <w:marLeft w:val="0"/>
      <w:marRight w:val="0"/>
      <w:marTop w:val="0"/>
      <w:marBottom w:val="0"/>
      <w:divBdr>
        <w:top w:val="none" w:sz="0" w:space="0" w:color="auto"/>
        <w:left w:val="none" w:sz="0" w:space="0" w:color="auto"/>
        <w:bottom w:val="none" w:sz="0" w:space="0" w:color="auto"/>
        <w:right w:val="none" w:sz="0" w:space="0" w:color="auto"/>
      </w:divBdr>
    </w:div>
    <w:div w:id="2017924309">
      <w:bodyDiv w:val="1"/>
      <w:marLeft w:val="0"/>
      <w:marRight w:val="0"/>
      <w:marTop w:val="0"/>
      <w:marBottom w:val="0"/>
      <w:divBdr>
        <w:top w:val="none" w:sz="0" w:space="0" w:color="auto"/>
        <w:left w:val="none" w:sz="0" w:space="0" w:color="auto"/>
        <w:bottom w:val="none" w:sz="0" w:space="0" w:color="auto"/>
        <w:right w:val="none" w:sz="0" w:space="0" w:color="auto"/>
      </w:divBdr>
    </w:div>
    <w:div w:id="2069452049">
      <w:bodyDiv w:val="1"/>
      <w:marLeft w:val="0"/>
      <w:marRight w:val="0"/>
      <w:marTop w:val="0"/>
      <w:marBottom w:val="0"/>
      <w:divBdr>
        <w:top w:val="none" w:sz="0" w:space="0" w:color="auto"/>
        <w:left w:val="none" w:sz="0" w:space="0" w:color="auto"/>
        <w:bottom w:val="none" w:sz="0" w:space="0" w:color="auto"/>
        <w:right w:val="none" w:sz="0" w:space="0" w:color="auto"/>
      </w:divBdr>
    </w:div>
    <w:div w:id="20839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wc.co.uk/"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mailto:akhandelwal@ckinetic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southsouthnorth.org/" TargetMode="Externa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http://www.odi.org.uk/" TargetMode="External"/><Relationship Id="rId10" Type="http://schemas.openxmlformats.org/officeDocument/2006/relationships/diagramQuickStyle" Target="diagrams/quickStyle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 Id="rId22" Type="http://schemas.openxmlformats.org/officeDocument/2006/relationships/hyperlink" Target="http://www.ffla.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4C927C-BE1E-4E36-BACC-4D2F73D2550F}" type="doc">
      <dgm:prSet loTypeId="urn:microsoft.com/office/officeart/2005/8/layout/cycle1" loCatId="cycle" qsTypeId="urn:microsoft.com/office/officeart/2005/8/quickstyle/simple1" qsCatId="simple" csTypeId="urn:microsoft.com/office/officeart/2005/8/colors/accent6_1" csCatId="accent6" phldr="1"/>
      <dgm:spPr/>
      <dgm:t>
        <a:bodyPr/>
        <a:lstStyle/>
        <a:p>
          <a:endParaRPr lang="en-US"/>
        </a:p>
      </dgm:t>
    </dgm:pt>
    <dgm:pt modelId="{46DDA365-05C5-4C11-83C8-23028D23ED09}">
      <dgm:prSet phldrT="[Text]" custT="1"/>
      <dgm:spPr/>
      <dgm:t>
        <a:bodyPr/>
        <a:lstStyle/>
        <a:p>
          <a:r>
            <a:rPr lang="en-US" sz="900" b="0" dirty="0" smtClean="0"/>
            <a:t>Critical mass will only be built, if there is investment capital and ESCO interest</a:t>
          </a:r>
          <a:endParaRPr lang="en-US" sz="900" b="0" dirty="0"/>
        </a:p>
      </dgm:t>
    </dgm:pt>
    <dgm:pt modelId="{4ACDC522-04AE-402D-A3A8-410FCA8DDA70}" type="parTrans" cxnId="{8807DB76-C052-4DB2-AA75-234F6E8B351D}">
      <dgm:prSet/>
      <dgm:spPr/>
      <dgm:t>
        <a:bodyPr/>
        <a:lstStyle/>
        <a:p>
          <a:endParaRPr lang="en-US"/>
        </a:p>
      </dgm:t>
    </dgm:pt>
    <dgm:pt modelId="{BF8F7EA2-8412-41DA-B3F6-28D575317FF4}" type="sibTrans" cxnId="{8807DB76-C052-4DB2-AA75-234F6E8B351D}">
      <dgm:prSet/>
      <dgm:spPr>
        <a:ln>
          <a:solidFill>
            <a:schemeClr val="bg1">
              <a:lumMod val="50000"/>
            </a:schemeClr>
          </a:solidFill>
        </a:ln>
      </dgm:spPr>
      <dgm:t>
        <a:bodyPr/>
        <a:lstStyle/>
        <a:p>
          <a:endParaRPr lang="en-US"/>
        </a:p>
      </dgm:t>
    </dgm:pt>
    <dgm:pt modelId="{61838E0B-5534-49DD-A01C-7A884C686BB3}">
      <dgm:prSet phldrT="[Text]" custT="1"/>
      <dgm:spPr/>
      <dgm:t>
        <a:bodyPr/>
        <a:lstStyle/>
        <a:p>
          <a:r>
            <a:rPr lang="en-US" sz="900" b="0" dirty="0" smtClean="0"/>
            <a:t>Mainstream interest will only pour in, once there is a certain critical mass on ground</a:t>
          </a:r>
          <a:endParaRPr lang="en-US" sz="900" b="0" dirty="0"/>
        </a:p>
      </dgm:t>
    </dgm:pt>
    <dgm:pt modelId="{F80F40AB-DB98-48FD-A7E3-33FB44F47268}" type="parTrans" cxnId="{9B5956F7-D12B-4A27-8CC3-818EAF15DC8B}">
      <dgm:prSet/>
      <dgm:spPr/>
      <dgm:t>
        <a:bodyPr/>
        <a:lstStyle/>
        <a:p>
          <a:endParaRPr lang="en-US"/>
        </a:p>
      </dgm:t>
    </dgm:pt>
    <dgm:pt modelId="{C17075C1-3931-49DB-AF02-2D384CBFD98E}" type="sibTrans" cxnId="{9B5956F7-D12B-4A27-8CC3-818EAF15DC8B}">
      <dgm:prSet/>
      <dgm:spPr>
        <a:ln>
          <a:solidFill>
            <a:schemeClr val="bg1">
              <a:lumMod val="50000"/>
            </a:schemeClr>
          </a:solidFill>
        </a:ln>
      </dgm:spPr>
      <dgm:t>
        <a:bodyPr/>
        <a:lstStyle/>
        <a:p>
          <a:endParaRPr lang="en-US"/>
        </a:p>
      </dgm:t>
    </dgm:pt>
    <dgm:pt modelId="{D874EB7C-240D-4944-9EA6-C03F5E7B1C6C}" type="pres">
      <dgm:prSet presAssocID="{9B4C927C-BE1E-4E36-BACC-4D2F73D2550F}" presName="cycle" presStyleCnt="0">
        <dgm:presLayoutVars>
          <dgm:dir/>
          <dgm:resizeHandles val="exact"/>
        </dgm:presLayoutVars>
      </dgm:prSet>
      <dgm:spPr/>
      <dgm:t>
        <a:bodyPr/>
        <a:lstStyle/>
        <a:p>
          <a:endParaRPr lang="en-US"/>
        </a:p>
      </dgm:t>
    </dgm:pt>
    <dgm:pt modelId="{07CACE0C-6D96-4A82-978F-4EFB01F42B73}" type="pres">
      <dgm:prSet presAssocID="{46DDA365-05C5-4C11-83C8-23028D23ED09}" presName="dummy" presStyleCnt="0"/>
      <dgm:spPr/>
      <dgm:t>
        <a:bodyPr/>
        <a:lstStyle/>
        <a:p>
          <a:endParaRPr lang="en-IN"/>
        </a:p>
      </dgm:t>
    </dgm:pt>
    <dgm:pt modelId="{8CA0E6B5-8D6F-46B0-B31C-C7EFF39142C9}" type="pres">
      <dgm:prSet presAssocID="{46DDA365-05C5-4C11-83C8-23028D23ED09}" presName="node" presStyleLbl="revTx" presStyleIdx="0" presStyleCnt="2" custScaleX="175201" custRadScaleRad="114750" custRadScaleInc="-3057">
        <dgm:presLayoutVars>
          <dgm:bulletEnabled val="1"/>
        </dgm:presLayoutVars>
      </dgm:prSet>
      <dgm:spPr/>
      <dgm:t>
        <a:bodyPr/>
        <a:lstStyle/>
        <a:p>
          <a:endParaRPr lang="en-US"/>
        </a:p>
      </dgm:t>
    </dgm:pt>
    <dgm:pt modelId="{F58249CA-4612-4060-9294-81614FF1FAE7}" type="pres">
      <dgm:prSet presAssocID="{BF8F7EA2-8412-41DA-B3F6-28D575317FF4}" presName="sibTrans" presStyleLbl="node1" presStyleIdx="0" presStyleCnt="2" custScaleY="87922"/>
      <dgm:spPr/>
      <dgm:t>
        <a:bodyPr/>
        <a:lstStyle/>
        <a:p>
          <a:endParaRPr lang="en-US"/>
        </a:p>
      </dgm:t>
    </dgm:pt>
    <dgm:pt modelId="{EDEBE826-47F5-47D8-82A4-9D5AA5F2D8AF}" type="pres">
      <dgm:prSet presAssocID="{61838E0B-5534-49DD-A01C-7A884C686BB3}" presName="dummy" presStyleCnt="0"/>
      <dgm:spPr/>
      <dgm:t>
        <a:bodyPr/>
        <a:lstStyle/>
        <a:p>
          <a:endParaRPr lang="en-IN"/>
        </a:p>
      </dgm:t>
    </dgm:pt>
    <dgm:pt modelId="{D63A9357-638B-4E35-948D-75981EE3905F}" type="pres">
      <dgm:prSet presAssocID="{61838E0B-5534-49DD-A01C-7A884C686BB3}" presName="node" presStyleLbl="revTx" presStyleIdx="1" presStyleCnt="2" custScaleX="186137" custRadScaleRad="107345">
        <dgm:presLayoutVars>
          <dgm:bulletEnabled val="1"/>
        </dgm:presLayoutVars>
      </dgm:prSet>
      <dgm:spPr/>
      <dgm:t>
        <a:bodyPr/>
        <a:lstStyle/>
        <a:p>
          <a:endParaRPr lang="en-US"/>
        </a:p>
      </dgm:t>
    </dgm:pt>
    <dgm:pt modelId="{943E3BAB-630E-4912-B137-71A74C1B6608}" type="pres">
      <dgm:prSet presAssocID="{C17075C1-3931-49DB-AF02-2D384CBFD98E}" presName="sibTrans" presStyleLbl="node1" presStyleIdx="1" presStyleCnt="2" custLinFactNeighborY="4614"/>
      <dgm:spPr/>
      <dgm:t>
        <a:bodyPr/>
        <a:lstStyle/>
        <a:p>
          <a:endParaRPr lang="en-US"/>
        </a:p>
      </dgm:t>
    </dgm:pt>
  </dgm:ptLst>
  <dgm:cxnLst>
    <dgm:cxn modelId="{8807DB76-C052-4DB2-AA75-234F6E8B351D}" srcId="{9B4C927C-BE1E-4E36-BACC-4D2F73D2550F}" destId="{46DDA365-05C5-4C11-83C8-23028D23ED09}" srcOrd="0" destOrd="0" parTransId="{4ACDC522-04AE-402D-A3A8-410FCA8DDA70}" sibTransId="{BF8F7EA2-8412-41DA-B3F6-28D575317FF4}"/>
    <dgm:cxn modelId="{4F243C3A-96EE-4F5A-AE88-FBA6648FE3EF}" type="presOf" srcId="{61838E0B-5534-49DD-A01C-7A884C686BB3}" destId="{D63A9357-638B-4E35-948D-75981EE3905F}" srcOrd="0" destOrd="0" presId="urn:microsoft.com/office/officeart/2005/8/layout/cycle1"/>
    <dgm:cxn modelId="{9B5956F7-D12B-4A27-8CC3-818EAF15DC8B}" srcId="{9B4C927C-BE1E-4E36-BACC-4D2F73D2550F}" destId="{61838E0B-5534-49DD-A01C-7A884C686BB3}" srcOrd="1" destOrd="0" parTransId="{F80F40AB-DB98-48FD-A7E3-33FB44F47268}" sibTransId="{C17075C1-3931-49DB-AF02-2D384CBFD98E}"/>
    <dgm:cxn modelId="{4C75C627-3FC2-42D5-90FC-249F19E810A9}" type="presOf" srcId="{BF8F7EA2-8412-41DA-B3F6-28D575317FF4}" destId="{F58249CA-4612-4060-9294-81614FF1FAE7}" srcOrd="0" destOrd="0" presId="urn:microsoft.com/office/officeart/2005/8/layout/cycle1"/>
    <dgm:cxn modelId="{49B39757-FFFD-4B76-B2CF-4E656BCD570E}" type="presOf" srcId="{C17075C1-3931-49DB-AF02-2D384CBFD98E}" destId="{943E3BAB-630E-4912-B137-71A74C1B6608}" srcOrd="0" destOrd="0" presId="urn:microsoft.com/office/officeart/2005/8/layout/cycle1"/>
    <dgm:cxn modelId="{8AA15CDB-AF99-4CD7-9151-08154D82D99C}" type="presOf" srcId="{9B4C927C-BE1E-4E36-BACC-4D2F73D2550F}" destId="{D874EB7C-240D-4944-9EA6-C03F5E7B1C6C}" srcOrd="0" destOrd="0" presId="urn:microsoft.com/office/officeart/2005/8/layout/cycle1"/>
    <dgm:cxn modelId="{664B3605-0122-410F-B8DC-5A10283D9AFF}" type="presOf" srcId="{46DDA365-05C5-4C11-83C8-23028D23ED09}" destId="{8CA0E6B5-8D6F-46B0-B31C-C7EFF39142C9}" srcOrd="0" destOrd="0" presId="urn:microsoft.com/office/officeart/2005/8/layout/cycle1"/>
    <dgm:cxn modelId="{7ACDDE6A-3D39-486E-A93C-70E2FB3C6841}" type="presParOf" srcId="{D874EB7C-240D-4944-9EA6-C03F5E7B1C6C}" destId="{07CACE0C-6D96-4A82-978F-4EFB01F42B73}" srcOrd="0" destOrd="0" presId="urn:microsoft.com/office/officeart/2005/8/layout/cycle1"/>
    <dgm:cxn modelId="{F6F7F6A9-1F42-485C-9C04-B36E4975E863}" type="presParOf" srcId="{D874EB7C-240D-4944-9EA6-C03F5E7B1C6C}" destId="{8CA0E6B5-8D6F-46B0-B31C-C7EFF39142C9}" srcOrd="1" destOrd="0" presId="urn:microsoft.com/office/officeart/2005/8/layout/cycle1"/>
    <dgm:cxn modelId="{778CF006-837F-40EE-8534-7A7BE8CCF0F6}" type="presParOf" srcId="{D874EB7C-240D-4944-9EA6-C03F5E7B1C6C}" destId="{F58249CA-4612-4060-9294-81614FF1FAE7}" srcOrd="2" destOrd="0" presId="urn:microsoft.com/office/officeart/2005/8/layout/cycle1"/>
    <dgm:cxn modelId="{C12D0DDE-E822-4647-BA22-BBC1BFE7F22E}" type="presParOf" srcId="{D874EB7C-240D-4944-9EA6-C03F5E7B1C6C}" destId="{EDEBE826-47F5-47D8-82A4-9D5AA5F2D8AF}" srcOrd="3" destOrd="0" presId="urn:microsoft.com/office/officeart/2005/8/layout/cycle1"/>
    <dgm:cxn modelId="{09FFB394-83B1-4A63-AD96-5C1835C475AA}" type="presParOf" srcId="{D874EB7C-240D-4944-9EA6-C03F5E7B1C6C}" destId="{D63A9357-638B-4E35-948D-75981EE3905F}" srcOrd="4" destOrd="0" presId="urn:microsoft.com/office/officeart/2005/8/layout/cycle1"/>
    <dgm:cxn modelId="{F6BBD8D1-28C4-4BE2-B052-13CF0BFF8AA8}" type="presParOf" srcId="{D874EB7C-240D-4944-9EA6-C03F5E7B1C6C}" destId="{943E3BAB-630E-4912-B137-71A74C1B6608}" srcOrd="5" destOrd="0" presId="urn:microsoft.com/office/officeart/2005/8/layout/cycle1"/>
  </dgm:cxnLst>
  <dgm:bg/>
  <dgm:whole>
    <a:ln>
      <a:solidFill>
        <a:schemeClr val="bg1">
          <a:lumMod val="50000"/>
        </a:schemeClr>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E11F91-582D-48AB-B2DA-AA2509DED8CB}" type="doc">
      <dgm:prSet loTypeId="urn:microsoft.com/office/officeart/2005/8/layout/hList1" loCatId="list" qsTypeId="urn:microsoft.com/office/officeart/2005/8/quickstyle/simple1" qsCatId="simple" csTypeId="urn:microsoft.com/office/officeart/2005/8/colors/colorful1" csCatId="colorful" phldr="1"/>
      <dgm:spPr/>
      <dgm:t>
        <a:bodyPr/>
        <a:lstStyle/>
        <a:p>
          <a:endParaRPr lang="en-IN"/>
        </a:p>
      </dgm:t>
    </dgm:pt>
    <dgm:pt modelId="{DF003DC9-C33A-48B0-962C-A4A219DA995F}">
      <dgm:prSet phldrT="[Text]" custT="1"/>
      <dgm:spPr/>
      <dgm:t>
        <a:bodyPr/>
        <a:lstStyle/>
        <a:p>
          <a:r>
            <a:rPr lang="en-IN" sz="900"/>
            <a:t>Structure</a:t>
          </a:r>
        </a:p>
      </dgm:t>
    </dgm:pt>
    <dgm:pt modelId="{B3611E60-EF00-4B31-AB09-BB1461942027}" type="parTrans" cxnId="{E443B3C4-F499-4C06-BB77-35F9E66C660F}">
      <dgm:prSet/>
      <dgm:spPr/>
      <dgm:t>
        <a:bodyPr/>
        <a:lstStyle/>
        <a:p>
          <a:endParaRPr lang="en-IN"/>
        </a:p>
      </dgm:t>
    </dgm:pt>
    <dgm:pt modelId="{95B82E40-10B7-4A4A-BBB1-2C966581D0E6}" type="sibTrans" cxnId="{E443B3C4-F499-4C06-BB77-35F9E66C660F}">
      <dgm:prSet/>
      <dgm:spPr/>
      <dgm:t>
        <a:bodyPr/>
        <a:lstStyle/>
        <a:p>
          <a:endParaRPr lang="en-IN"/>
        </a:p>
      </dgm:t>
    </dgm:pt>
    <dgm:pt modelId="{AF8A82F4-F1D0-4FC6-A0DE-95AAEEA10C56}">
      <dgm:prSet phldrT="[Text]" custT="1"/>
      <dgm:spPr/>
      <dgm:t>
        <a:bodyPr/>
        <a:lstStyle/>
        <a:p>
          <a:r>
            <a:rPr lang="en-US" sz="900"/>
            <a:t> Guarantee pool to enable credit enhancement through funding first loss </a:t>
          </a:r>
          <a:r>
            <a:rPr lang="en-US" sz="900">
              <a:solidFill>
                <a:sysClr val="windowText" lastClr="000000"/>
              </a:solidFill>
            </a:rPr>
            <a:t>default  ; possibly in which will supplement the existing USAID DCA pari passu guarantee</a:t>
          </a:r>
          <a:endParaRPr lang="en-IN" sz="900">
            <a:solidFill>
              <a:sysClr val="windowText" lastClr="000000"/>
            </a:solidFill>
          </a:endParaRPr>
        </a:p>
      </dgm:t>
    </dgm:pt>
    <dgm:pt modelId="{95F406B4-49F0-4E99-B172-2016C50A5F6B}" type="parTrans" cxnId="{760DC813-3824-4988-8A98-E671485FCC1E}">
      <dgm:prSet/>
      <dgm:spPr/>
      <dgm:t>
        <a:bodyPr/>
        <a:lstStyle/>
        <a:p>
          <a:endParaRPr lang="en-IN"/>
        </a:p>
      </dgm:t>
    </dgm:pt>
    <dgm:pt modelId="{FD505F09-7288-4AAB-AA4C-9A9C9AEE46DC}" type="sibTrans" cxnId="{760DC813-3824-4988-8A98-E671485FCC1E}">
      <dgm:prSet/>
      <dgm:spPr/>
      <dgm:t>
        <a:bodyPr/>
        <a:lstStyle/>
        <a:p>
          <a:endParaRPr lang="en-IN"/>
        </a:p>
      </dgm:t>
    </dgm:pt>
    <dgm:pt modelId="{537B0509-25AD-47D8-BD1E-A80DE48FD024}">
      <dgm:prSet phldrT="[Text]" custT="1"/>
      <dgm:spPr/>
      <dgm:t>
        <a:bodyPr/>
        <a:lstStyle/>
        <a:p>
          <a:r>
            <a:rPr lang="en-IN" sz="900"/>
            <a:t>Host entity</a:t>
          </a:r>
        </a:p>
      </dgm:t>
    </dgm:pt>
    <dgm:pt modelId="{9387E065-E577-4BEC-A87A-C7BF4A92313F}" type="parTrans" cxnId="{D06A9265-DC22-42CC-9B65-24134B82D4A8}">
      <dgm:prSet/>
      <dgm:spPr/>
      <dgm:t>
        <a:bodyPr/>
        <a:lstStyle/>
        <a:p>
          <a:endParaRPr lang="en-IN"/>
        </a:p>
      </dgm:t>
    </dgm:pt>
    <dgm:pt modelId="{73B088FD-6687-4B48-9984-3B45EC81ADC7}" type="sibTrans" cxnId="{D06A9265-DC22-42CC-9B65-24134B82D4A8}">
      <dgm:prSet/>
      <dgm:spPr/>
      <dgm:t>
        <a:bodyPr/>
        <a:lstStyle/>
        <a:p>
          <a:endParaRPr lang="en-IN"/>
        </a:p>
      </dgm:t>
    </dgm:pt>
    <dgm:pt modelId="{77770B0A-DE10-47D9-8661-F636514D1613}">
      <dgm:prSet phldrT="[Text]" custT="1"/>
      <dgm:spPr/>
      <dgm:t>
        <a:bodyPr/>
        <a:lstStyle/>
        <a:p>
          <a:r>
            <a:rPr lang="en-US" sz="900"/>
            <a:t>The pilot can be conducted at CIIE (Centre for Incubation, Entrerprenuership and Environment, a leading incubator for cleantech and DRE sectors in India) - an entity working closely with MNRE and several other public sector entities; and also managing a USD 25 mn Cleantech Fund.</a:t>
          </a:r>
          <a:endParaRPr lang="en-IN" sz="900"/>
        </a:p>
      </dgm:t>
    </dgm:pt>
    <dgm:pt modelId="{CA285D79-8E70-4EE5-BCC1-9EF57B0AA53D}" type="parTrans" cxnId="{B2B39EFC-29C9-4C64-8CB9-5E39C90F5DD0}">
      <dgm:prSet/>
      <dgm:spPr/>
      <dgm:t>
        <a:bodyPr/>
        <a:lstStyle/>
        <a:p>
          <a:endParaRPr lang="en-IN"/>
        </a:p>
      </dgm:t>
    </dgm:pt>
    <dgm:pt modelId="{02F7B8FC-5FC8-4C95-9790-C84C6BA9792E}" type="sibTrans" cxnId="{B2B39EFC-29C9-4C64-8CB9-5E39C90F5DD0}">
      <dgm:prSet/>
      <dgm:spPr/>
      <dgm:t>
        <a:bodyPr/>
        <a:lstStyle/>
        <a:p>
          <a:endParaRPr lang="en-IN"/>
        </a:p>
      </dgm:t>
    </dgm:pt>
    <dgm:pt modelId="{A56C81B2-9007-4E17-A699-F131B37C257A}">
      <dgm:prSet phldrT="[Text]" custT="1"/>
      <dgm:spPr/>
      <dgm:t>
        <a:bodyPr/>
        <a:lstStyle/>
        <a:p>
          <a:r>
            <a:rPr lang="en-IN" sz="900"/>
            <a:t>Funding sources</a:t>
          </a:r>
        </a:p>
      </dgm:t>
    </dgm:pt>
    <dgm:pt modelId="{CB3544CF-AEF3-4A53-98A2-0F375D77381E}" type="parTrans" cxnId="{CFB0E7C6-A3AE-4A94-8B37-2A042F6D996F}">
      <dgm:prSet/>
      <dgm:spPr/>
      <dgm:t>
        <a:bodyPr/>
        <a:lstStyle/>
        <a:p>
          <a:endParaRPr lang="en-IN"/>
        </a:p>
      </dgm:t>
    </dgm:pt>
    <dgm:pt modelId="{7BD8CCFC-BE7E-450A-8132-D2859B08E3F1}" type="sibTrans" cxnId="{CFB0E7C6-A3AE-4A94-8B37-2A042F6D996F}">
      <dgm:prSet/>
      <dgm:spPr/>
      <dgm:t>
        <a:bodyPr/>
        <a:lstStyle/>
        <a:p>
          <a:endParaRPr lang="en-IN"/>
        </a:p>
      </dgm:t>
    </dgm:pt>
    <dgm:pt modelId="{3BED7F73-E777-40A9-AE60-36DDBF280BCD}">
      <dgm:prSet phldrT="[Text]" custT="1"/>
      <dgm:spPr/>
      <dgm:t>
        <a:bodyPr/>
        <a:lstStyle/>
        <a:p>
          <a:r>
            <a:rPr lang="en-IN" sz="900"/>
            <a:t> The guarantee can be capitalized by a blend of federal insititutional capital and private (soft) capital</a:t>
          </a:r>
        </a:p>
      </dgm:t>
    </dgm:pt>
    <dgm:pt modelId="{187CEBD8-EF33-4859-A772-D625B6E216F3}" type="parTrans" cxnId="{C041FB23-58F1-4B6B-B139-13555322D245}">
      <dgm:prSet/>
      <dgm:spPr/>
      <dgm:t>
        <a:bodyPr/>
        <a:lstStyle/>
        <a:p>
          <a:endParaRPr lang="en-IN"/>
        </a:p>
      </dgm:t>
    </dgm:pt>
    <dgm:pt modelId="{EFD9CEDB-475B-43D4-97FD-4A2E1EC5DAB5}" type="sibTrans" cxnId="{C041FB23-58F1-4B6B-B139-13555322D245}">
      <dgm:prSet/>
      <dgm:spPr/>
      <dgm:t>
        <a:bodyPr/>
        <a:lstStyle/>
        <a:p>
          <a:endParaRPr lang="en-IN"/>
        </a:p>
      </dgm:t>
    </dgm:pt>
    <dgm:pt modelId="{C760319B-992A-4AE4-96E7-C030CD62056C}">
      <dgm:prSet phldrT="[Text]" custT="1"/>
      <dgm:spPr/>
      <dgm:t>
        <a:bodyPr/>
        <a:lstStyle/>
        <a:p>
          <a:r>
            <a:rPr lang="en-IN" sz="900"/>
            <a:t>Potential Partners</a:t>
          </a:r>
        </a:p>
      </dgm:t>
    </dgm:pt>
    <dgm:pt modelId="{6B3B2C4E-0B6A-4122-9B37-A64D3576B007}" type="parTrans" cxnId="{B545887A-3B21-4F7F-8677-6A82B20EE14F}">
      <dgm:prSet/>
      <dgm:spPr/>
      <dgm:t>
        <a:bodyPr/>
        <a:lstStyle/>
        <a:p>
          <a:endParaRPr lang="en-IN"/>
        </a:p>
      </dgm:t>
    </dgm:pt>
    <dgm:pt modelId="{B3A53120-265D-469B-A489-57674C8AB6BA}" type="sibTrans" cxnId="{B545887A-3B21-4F7F-8677-6A82B20EE14F}">
      <dgm:prSet/>
      <dgm:spPr/>
      <dgm:t>
        <a:bodyPr/>
        <a:lstStyle/>
        <a:p>
          <a:endParaRPr lang="en-IN"/>
        </a:p>
      </dgm:t>
    </dgm:pt>
    <dgm:pt modelId="{1E2FCD55-44EE-4FB6-9588-B2EC1C39E0A8}">
      <dgm:prSet phldrT="[Text]" custT="1"/>
      <dgm:spPr/>
      <dgm:t>
        <a:bodyPr/>
        <a:lstStyle/>
        <a:p>
          <a:r>
            <a:rPr lang="en-US" sz="900"/>
            <a:t>The first loss of upto 15~ 20% of the total loan amount being covered by the guarantee (funded by donors/public sources) followed by pari-passu risk sharing on the remaining 80% of the loan amount. </a:t>
          </a:r>
          <a:endParaRPr lang="en-IN" sz="900"/>
        </a:p>
      </dgm:t>
    </dgm:pt>
    <dgm:pt modelId="{929A5870-9B9C-4D72-A713-1B7FFD7F5D8F}" type="parTrans" cxnId="{554E6D1C-4BB7-4857-9071-AE5F34AE279B}">
      <dgm:prSet/>
      <dgm:spPr/>
      <dgm:t>
        <a:bodyPr/>
        <a:lstStyle/>
        <a:p>
          <a:endParaRPr lang="en-IN"/>
        </a:p>
      </dgm:t>
    </dgm:pt>
    <dgm:pt modelId="{493C4626-7867-4CC5-8BC5-4F28FFF282ED}" type="sibTrans" cxnId="{554E6D1C-4BB7-4857-9071-AE5F34AE279B}">
      <dgm:prSet/>
      <dgm:spPr/>
      <dgm:t>
        <a:bodyPr/>
        <a:lstStyle/>
        <a:p>
          <a:endParaRPr lang="en-IN"/>
        </a:p>
      </dgm:t>
    </dgm:pt>
    <dgm:pt modelId="{73A815A9-1A1C-4334-A988-E56A221FA3F3}">
      <dgm:prSet phldrT="[Text]" custT="1"/>
      <dgm:spPr/>
      <dgm:t>
        <a:bodyPr/>
        <a:lstStyle/>
        <a:p>
          <a:r>
            <a:rPr lang="en-IN" sz="900"/>
            <a:t>Partner FIs: Both Yes Bank and RBL are interested in this structure</a:t>
          </a:r>
        </a:p>
      </dgm:t>
    </dgm:pt>
    <dgm:pt modelId="{92569A9A-5B8D-421E-912D-F91F97E6AA7C}" type="parTrans" cxnId="{B2BDDE59-B5A4-4F60-93B8-C1EB0C19DBCA}">
      <dgm:prSet/>
      <dgm:spPr/>
      <dgm:t>
        <a:bodyPr/>
        <a:lstStyle/>
        <a:p>
          <a:endParaRPr lang="en-IN"/>
        </a:p>
      </dgm:t>
    </dgm:pt>
    <dgm:pt modelId="{B5352D1F-10B0-45C4-921B-91570D7CF985}" type="sibTrans" cxnId="{B2BDDE59-B5A4-4F60-93B8-C1EB0C19DBCA}">
      <dgm:prSet/>
      <dgm:spPr/>
      <dgm:t>
        <a:bodyPr/>
        <a:lstStyle/>
        <a:p>
          <a:endParaRPr lang="en-IN"/>
        </a:p>
      </dgm:t>
    </dgm:pt>
    <dgm:pt modelId="{7CD35EFF-B638-41C2-BC89-8E5CE5EF928E}">
      <dgm:prSet phldrT="[Text]" custT="1"/>
      <dgm:spPr/>
      <dgm:t>
        <a:bodyPr/>
        <a:lstStyle/>
        <a:p>
          <a:r>
            <a:rPr lang="en-US" sz="900"/>
            <a:t> Public Sources - MNRE and/or NCEF; The capital for the federal support can be channeled from the National Clean Energy Fund (NCEF). </a:t>
          </a:r>
          <a:endParaRPr lang="en-IN" sz="900"/>
        </a:p>
      </dgm:t>
    </dgm:pt>
    <dgm:pt modelId="{6DD4E2DC-E3B6-4813-A4A8-F3B3D88CC38E}" type="parTrans" cxnId="{427127AE-C0A1-4A9B-B8B3-8272DC814D4D}">
      <dgm:prSet/>
      <dgm:spPr/>
      <dgm:t>
        <a:bodyPr/>
        <a:lstStyle/>
        <a:p>
          <a:endParaRPr lang="en-IN"/>
        </a:p>
      </dgm:t>
    </dgm:pt>
    <dgm:pt modelId="{4B96B0DB-F6DC-4716-B8DE-9A178CDF3B17}" type="sibTrans" cxnId="{427127AE-C0A1-4A9B-B8B3-8272DC814D4D}">
      <dgm:prSet/>
      <dgm:spPr/>
      <dgm:t>
        <a:bodyPr/>
        <a:lstStyle/>
        <a:p>
          <a:endParaRPr lang="en-IN"/>
        </a:p>
      </dgm:t>
    </dgm:pt>
    <dgm:pt modelId="{EB808915-F226-4FB2-9C7B-532986704BB5}">
      <dgm:prSet phldrT="[Text]" custT="1"/>
      <dgm:spPr/>
      <dgm:t>
        <a:bodyPr/>
        <a:lstStyle/>
        <a:p>
          <a:r>
            <a:rPr lang="en-IN" sz="900"/>
            <a:t>In addition, cKers Finance, a new NBFC dedicated to DRE financing in India is a partner willing to take lower coverage (and asssume greater risk) - thereby increasing the leveragibilty of capital</a:t>
          </a:r>
        </a:p>
      </dgm:t>
    </dgm:pt>
    <dgm:pt modelId="{E3F5DA60-DABF-4BD9-A2C5-10DF47DF959A}" type="parTrans" cxnId="{3D52E62E-1C28-4550-AEBF-B251B6A43FB4}">
      <dgm:prSet/>
      <dgm:spPr/>
      <dgm:t>
        <a:bodyPr/>
        <a:lstStyle/>
        <a:p>
          <a:endParaRPr lang="en-IN"/>
        </a:p>
      </dgm:t>
    </dgm:pt>
    <dgm:pt modelId="{EB3B8621-B36A-4260-8264-FB0A83E4D8FF}" type="sibTrans" cxnId="{3D52E62E-1C28-4550-AEBF-B251B6A43FB4}">
      <dgm:prSet/>
      <dgm:spPr/>
      <dgm:t>
        <a:bodyPr/>
        <a:lstStyle/>
        <a:p>
          <a:endParaRPr lang="en-IN"/>
        </a:p>
      </dgm:t>
    </dgm:pt>
    <dgm:pt modelId="{1AD7F125-01DA-4A09-915E-65E2C22B80C1}">
      <dgm:prSet phldrT="[Text]" custT="1"/>
      <dgm:spPr/>
      <dgm:t>
        <a:bodyPr/>
        <a:lstStyle/>
        <a:p>
          <a:r>
            <a:rPr lang="en-IN" sz="900"/>
            <a:t>  Funding partners: Shell Foundation, Shakti Foundation, CLEAN and KfW have expressed initial interest. In addtion, Rockefeller Foundation could be potentially interested as well.</a:t>
          </a:r>
        </a:p>
      </dgm:t>
    </dgm:pt>
    <dgm:pt modelId="{CE709A1D-3853-472D-92A0-31CBFAE72F2A}" type="parTrans" cxnId="{D029BDD2-E13E-497A-A737-3FC721910613}">
      <dgm:prSet/>
      <dgm:spPr/>
      <dgm:t>
        <a:bodyPr/>
        <a:lstStyle/>
        <a:p>
          <a:endParaRPr lang="en-IN"/>
        </a:p>
      </dgm:t>
    </dgm:pt>
    <dgm:pt modelId="{006808AD-67F2-457E-8B8C-D1BC5CB62CF2}" type="sibTrans" cxnId="{D029BDD2-E13E-497A-A737-3FC721910613}">
      <dgm:prSet/>
      <dgm:spPr/>
      <dgm:t>
        <a:bodyPr/>
        <a:lstStyle/>
        <a:p>
          <a:endParaRPr lang="en-IN"/>
        </a:p>
      </dgm:t>
    </dgm:pt>
    <dgm:pt modelId="{5BF1E078-8E73-498B-A0F8-8AA7D865D5E9}" type="pres">
      <dgm:prSet presAssocID="{57E11F91-582D-48AB-B2DA-AA2509DED8CB}" presName="Name0" presStyleCnt="0">
        <dgm:presLayoutVars>
          <dgm:dir/>
          <dgm:animLvl val="lvl"/>
          <dgm:resizeHandles val="exact"/>
        </dgm:presLayoutVars>
      </dgm:prSet>
      <dgm:spPr/>
      <dgm:t>
        <a:bodyPr/>
        <a:lstStyle/>
        <a:p>
          <a:endParaRPr lang="en-IN"/>
        </a:p>
      </dgm:t>
    </dgm:pt>
    <dgm:pt modelId="{10982847-711E-4185-B0A3-698218F2B022}" type="pres">
      <dgm:prSet presAssocID="{DF003DC9-C33A-48B0-962C-A4A219DA995F}" presName="composite" presStyleCnt="0"/>
      <dgm:spPr/>
    </dgm:pt>
    <dgm:pt modelId="{765F7355-A481-47A8-BD44-EFA740618360}" type="pres">
      <dgm:prSet presAssocID="{DF003DC9-C33A-48B0-962C-A4A219DA995F}" presName="parTx" presStyleLbl="alignNode1" presStyleIdx="0" presStyleCnt="4">
        <dgm:presLayoutVars>
          <dgm:chMax val="0"/>
          <dgm:chPref val="0"/>
          <dgm:bulletEnabled val="1"/>
        </dgm:presLayoutVars>
      </dgm:prSet>
      <dgm:spPr/>
      <dgm:t>
        <a:bodyPr/>
        <a:lstStyle/>
        <a:p>
          <a:endParaRPr lang="en-IN"/>
        </a:p>
      </dgm:t>
    </dgm:pt>
    <dgm:pt modelId="{7A00CCFC-3D69-4813-AD37-C5358E4DA6DA}" type="pres">
      <dgm:prSet presAssocID="{DF003DC9-C33A-48B0-962C-A4A219DA995F}" presName="desTx" presStyleLbl="alignAccFollowNode1" presStyleIdx="0" presStyleCnt="4">
        <dgm:presLayoutVars>
          <dgm:bulletEnabled val="1"/>
        </dgm:presLayoutVars>
      </dgm:prSet>
      <dgm:spPr/>
      <dgm:t>
        <a:bodyPr/>
        <a:lstStyle/>
        <a:p>
          <a:endParaRPr lang="en-IN"/>
        </a:p>
      </dgm:t>
    </dgm:pt>
    <dgm:pt modelId="{C5818F2C-39D1-43DD-A5EE-415D11D780FC}" type="pres">
      <dgm:prSet presAssocID="{95B82E40-10B7-4A4A-BBB1-2C966581D0E6}" presName="space" presStyleCnt="0"/>
      <dgm:spPr/>
    </dgm:pt>
    <dgm:pt modelId="{8B2F7CD8-055E-4080-AFFC-12386FB05A6A}" type="pres">
      <dgm:prSet presAssocID="{537B0509-25AD-47D8-BD1E-A80DE48FD024}" presName="composite" presStyleCnt="0"/>
      <dgm:spPr/>
    </dgm:pt>
    <dgm:pt modelId="{020D90C3-9910-45F4-904C-0AB8BF67D7F3}" type="pres">
      <dgm:prSet presAssocID="{537B0509-25AD-47D8-BD1E-A80DE48FD024}" presName="parTx" presStyleLbl="alignNode1" presStyleIdx="1" presStyleCnt="4">
        <dgm:presLayoutVars>
          <dgm:chMax val="0"/>
          <dgm:chPref val="0"/>
          <dgm:bulletEnabled val="1"/>
        </dgm:presLayoutVars>
      </dgm:prSet>
      <dgm:spPr/>
      <dgm:t>
        <a:bodyPr/>
        <a:lstStyle/>
        <a:p>
          <a:endParaRPr lang="en-IN"/>
        </a:p>
      </dgm:t>
    </dgm:pt>
    <dgm:pt modelId="{799EBD36-9E1B-4B98-ADE9-86D9912D492B}" type="pres">
      <dgm:prSet presAssocID="{537B0509-25AD-47D8-BD1E-A80DE48FD024}" presName="desTx" presStyleLbl="alignAccFollowNode1" presStyleIdx="1" presStyleCnt="4" custLinFactNeighborY="1244">
        <dgm:presLayoutVars>
          <dgm:bulletEnabled val="1"/>
        </dgm:presLayoutVars>
      </dgm:prSet>
      <dgm:spPr/>
      <dgm:t>
        <a:bodyPr/>
        <a:lstStyle/>
        <a:p>
          <a:endParaRPr lang="en-IN"/>
        </a:p>
      </dgm:t>
    </dgm:pt>
    <dgm:pt modelId="{EAF71487-E556-4F35-BC86-D92794605A40}" type="pres">
      <dgm:prSet presAssocID="{73B088FD-6687-4B48-9984-3B45EC81ADC7}" presName="space" presStyleCnt="0"/>
      <dgm:spPr/>
    </dgm:pt>
    <dgm:pt modelId="{2717BAEC-A8FC-4793-BBDD-05D0C51CC1C5}" type="pres">
      <dgm:prSet presAssocID="{A56C81B2-9007-4E17-A699-F131B37C257A}" presName="composite" presStyleCnt="0"/>
      <dgm:spPr/>
    </dgm:pt>
    <dgm:pt modelId="{ACF9A916-65A8-4521-8268-F19A481F4CCE}" type="pres">
      <dgm:prSet presAssocID="{A56C81B2-9007-4E17-A699-F131B37C257A}" presName="parTx" presStyleLbl="alignNode1" presStyleIdx="2" presStyleCnt="4">
        <dgm:presLayoutVars>
          <dgm:chMax val="0"/>
          <dgm:chPref val="0"/>
          <dgm:bulletEnabled val="1"/>
        </dgm:presLayoutVars>
      </dgm:prSet>
      <dgm:spPr/>
      <dgm:t>
        <a:bodyPr/>
        <a:lstStyle/>
        <a:p>
          <a:endParaRPr lang="en-IN"/>
        </a:p>
      </dgm:t>
    </dgm:pt>
    <dgm:pt modelId="{A4A17313-BBB8-4BCA-894F-7893C5010761}" type="pres">
      <dgm:prSet presAssocID="{A56C81B2-9007-4E17-A699-F131B37C257A}" presName="desTx" presStyleLbl="alignAccFollowNode1" presStyleIdx="2" presStyleCnt="4">
        <dgm:presLayoutVars>
          <dgm:bulletEnabled val="1"/>
        </dgm:presLayoutVars>
      </dgm:prSet>
      <dgm:spPr/>
      <dgm:t>
        <a:bodyPr/>
        <a:lstStyle/>
        <a:p>
          <a:endParaRPr lang="en-IN"/>
        </a:p>
      </dgm:t>
    </dgm:pt>
    <dgm:pt modelId="{0FF46740-398D-45C4-A4EF-6F83695118BE}" type="pres">
      <dgm:prSet presAssocID="{7BD8CCFC-BE7E-450A-8132-D2859B08E3F1}" presName="space" presStyleCnt="0"/>
      <dgm:spPr/>
    </dgm:pt>
    <dgm:pt modelId="{062F35DB-7394-4F8A-8D73-892701D3ADDD}" type="pres">
      <dgm:prSet presAssocID="{C760319B-992A-4AE4-96E7-C030CD62056C}" presName="composite" presStyleCnt="0"/>
      <dgm:spPr/>
    </dgm:pt>
    <dgm:pt modelId="{6034DE61-8997-4548-96EC-45C558DB15F4}" type="pres">
      <dgm:prSet presAssocID="{C760319B-992A-4AE4-96E7-C030CD62056C}" presName="parTx" presStyleLbl="alignNode1" presStyleIdx="3" presStyleCnt="4">
        <dgm:presLayoutVars>
          <dgm:chMax val="0"/>
          <dgm:chPref val="0"/>
          <dgm:bulletEnabled val="1"/>
        </dgm:presLayoutVars>
      </dgm:prSet>
      <dgm:spPr/>
      <dgm:t>
        <a:bodyPr/>
        <a:lstStyle/>
        <a:p>
          <a:endParaRPr lang="en-IN"/>
        </a:p>
      </dgm:t>
    </dgm:pt>
    <dgm:pt modelId="{F1468FFE-FBC3-4327-BFA1-6B06D8F38179}" type="pres">
      <dgm:prSet presAssocID="{C760319B-992A-4AE4-96E7-C030CD62056C}" presName="desTx" presStyleLbl="alignAccFollowNode1" presStyleIdx="3" presStyleCnt="4">
        <dgm:presLayoutVars>
          <dgm:bulletEnabled val="1"/>
        </dgm:presLayoutVars>
      </dgm:prSet>
      <dgm:spPr/>
      <dgm:t>
        <a:bodyPr/>
        <a:lstStyle/>
        <a:p>
          <a:endParaRPr lang="en-IN"/>
        </a:p>
      </dgm:t>
    </dgm:pt>
  </dgm:ptLst>
  <dgm:cxnLst>
    <dgm:cxn modelId="{D029BDD2-E13E-497A-A737-3FC721910613}" srcId="{A56C81B2-9007-4E17-A699-F131B37C257A}" destId="{1AD7F125-01DA-4A09-915E-65E2C22B80C1}" srcOrd="2" destOrd="0" parTransId="{CE709A1D-3853-472D-92A0-31CBFAE72F2A}" sibTransId="{006808AD-67F2-457E-8B8C-D1BC5CB62CF2}"/>
    <dgm:cxn modelId="{77A5DD05-B41A-4A02-9A16-8522A07EED2A}" type="presOf" srcId="{77770B0A-DE10-47D9-8661-F636514D1613}" destId="{799EBD36-9E1B-4B98-ADE9-86D9912D492B}" srcOrd="0" destOrd="0" presId="urn:microsoft.com/office/officeart/2005/8/layout/hList1"/>
    <dgm:cxn modelId="{C041FB23-58F1-4B6B-B139-13555322D245}" srcId="{A56C81B2-9007-4E17-A699-F131B37C257A}" destId="{3BED7F73-E777-40A9-AE60-36DDBF280BCD}" srcOrd="0" destOrd="0" parTransId="{187CEBD8-EF33-4859-A772-D625B6E216F3}" sibTransId="{EFD9CEDB-475B-43D4-97FD-4A2E1EC5DAB5}"/>
    <dgm:cxn modelId="{B2BDDE59-B5A4-4F60-93B8-C1EB0C19DBCA}" srcId="{C760319B-992A-4AE4-96E7-C030CD62056C}" destId="{73A815A9-1A1C-4334-A988-E56A221FA3F3}" srcOrd="0" destOrd="0" parTransId="{92569A9A-5B8D-421E-912D-F91F97E6AA7C}" sibTransId="{B5352D1F-10B0-45C4-921B-91570D7CF985}"/>
    <dgm:cxn modelId="{554E6D1C-4BB7-4857-9071-AE5F34AE279B}" srcId="{DF003DC9-C33A-48B0-962C-A4A219DA995F}" destId="{1E2FCD55-44EE-4FB6-9588-B2EC1C39E0A8}" srcOrd="1" destOrd="0" parTransId="{929A5870-9B9C-4D72-A713-1B7FFD7F5D8F}" sibTransId="{493C4626-7867-4CC5-8BC5-4F28FFF282ED}"/>
    <dgm:cxn modelId="{B2B39EFC-29C9-4C64-8CB9-5E39C90F5DD0}" srcId="{537B0509-25AD-47D8-BD1E-A80DE48FD024}" destId="{77770B0A-DE10-47D9-8661-F636514D1613}" srcOrd="0" destOrd="0" parTransId="{CA285D79-8E70-4EE5-BCC1-9EF57B0AA53D}" sibTransId="{02F7B8FC-5FC8-4C95-9790-C84C6BA9792E}"/>
    <dgm:cxn modelId="{10146ADD-C440-43F3-9F49-62412E73A2A6}" type="presOf" srcId="{A56C81B2-9007-4E17-A699-F131B37C257A}" destId="{ACF9A916-65A8-4521-8268-F19A481F4CCE}" srcOrd="0" destOrd="0" presId="urn:microsoft.com/office/officeart/2005/8/layout/hList1"/>
    <dgm:cxn modelId="{CFB0E7C6-A3AE-4A94-8B37-2A042F6D996F}" srcId="{57E11F91-582D-48AB-B2DA-AA2509DED8CB}" destId="{A56C81B2-9007-4E17-A699-F131B37C257A}" srcOrd="2" destOrd="0" parTransId="{CB3544CF-AEF3-4A53-98A2-0F375D77381E}" sibTransId="{7BD8CCFC-BE7E-450A-8132-D2859B08E3F1}"/>
    <dgm:cxn modelId="{3D52E62E-1C28-4550-AEBF-B251B6A43FB4}" srcId="{C760319B-992A-4AE4-96E7-C030CD62056C}" destId="{EB808915-F226-4FB2-9C7B-532986704BB5}" srcOrd="1" destOrd="0" parTransId="{E3F5DA60-DABF-4BD9-A2C5-10DF47DF959A}" sibTransId="{EB3B8621-B36A-4260-8264-FB0A83E4D8FF}"/>
    <dgm:cxn modelId="{D06A9265-DC22-42CC-9B65-24134B82D4A8}" srcId="{57E11F91-582D-48AB-B2DA-AA2509DED8CB}" destId="{537B0509-25AD-47D8-BD1E-A80DE48FD024}" srcOrd="1" destOrd="0" parTransId="{9387E065-E577-4BEC-A87A-C7BF4A92313F}" sibTransId="{73B088FD-6687-4B48-9984-3B45EC81ADC7}"/>
    <dgm:cxn modelId="{E443B3C4-F499-4C06-BB77-35F9E66C660F}" srcId="{57E11F91-582D-48AB-B2DA-AA2509DED8CB}" destId="{DF003DC9-C33A-48B0-962C-A4A219DA995F}" srcOrd="0" destOrd="0" parTransId="{B3611E60-EF00-4B31-AB09-BB1461942027}" sibTransId="{95B82E40-10B7-4A4A-BBB1-2C966581D0E6}"/>
    <dgm:cxn modelId="{11F59D47-141A-4B44-AAEA-DD55C53385C4}" type="presOf" srcId="{7CD35EFF-B638-41C2-BC89-8E5CE5EF928E}" destId="{A4A17313-BBB8-4BCA-894F-7893C5010761}" srcOrd="0" destOrd="1" presId="urn:microsoft.com/office/officeart/2005/8/layout/hList1"/>
    <dgm:cxn modelId="{760DC813-3824-4988-8A98-E671485FCC1E}" srcId="{DF003DC9-C33A-48B0-962C-A4A219DA995F}" destId="{AF8A82F4-F1D0-4FC6-A0DE-95AAEEA10C56}" srcOrd="0" destOrd="0" parTransId="{95F406B4-49F0-4E99-B172-2016C50A5F6B}" sibTransId="{FD505F09-7288-4AAB-AA4C-9A9C9AEE46DC}"/>
    <dgm:cxn modelId="{446D5609-FE0B-428E-BD80-D9CD6136D900}" type="presOf" srcId="{AF8A82F4-F1D0-4FC6-A0DE-95AAEEA10C56}" destId="{7A00CCFC-3D69-4813-AD37-C5358E4DA6DA}" srcOrd="0" destOrd="0" presId="urn:microsoft.com/office/officeart/2005/8/layout/hList1"/>
    <dgm:cxn modelId="{382FD8C9-7375-4B5A-80F3-5290A61755DF}" type="presOf" srcId="{C760319B-992A-4AE4-96E7-C030CD62056C}" destId="{6034DE61-8997-4548-96EC-45C558DB15F4}" srcOrd="0" destOrd="0" presId="urn:microsoft.com/office/officeart/2005/8/layout/hList1"/>
    <dgm:cxn modelId="{2ECF70E6-7ED2-4AA3-B8DC-EE72AA1F972D}" type="presOf" srcId="{EB808915-F226-4FB2-9C7B-532986704BB5}" destId="{F1468FFE-FBC3-4327-BFA1-6B06D8F38179}" srcOrd="0" destOrd="1" presId="urn:microsoft.com/office/officeart/2005/8/layout/hList1"/>
    <dgm:cxn modelId="{85305E41-6887-4631-8B01-65CF6200966F}" type="presOf" srcId="{1AD7F125-01DA-4A09-915E-65E2C22B80C1}" destId="{A4A17313-BBB8-4BCA-894F-7893C5010761}" srcOrd="0" destOrd="2" presId="urn:microsoft.com/office/officeart/2005/8/layout/hList1"/>
    <dgm:cxn modelId="{EE246140-4B11-4BDA-994E-A4B1723D23D6}" type="presOf" srcId="{537B0509-25AD-47D8-BD1E-A80DE48FD024}" destId="{020D90C3-9910-45F4-904C-0AB8BF67D7F3}" srcOrd="0" destOrd="0" presId="urn:microsoft.com/office/officeart/2005/8/layout/hList1"/>
    <dgm:cxn modelId="{427127AE-C0A1-4A9B-B8B3-8272DC814D4D}" srcId="{A56C81B2-9007-4E17-A699-F131B37C257A}" destId="{7CD35EFF-B638-41C2-BC89-8E5CE5EF928E}" srcOrd="1" destOrd="0" parTransId="{6DD4E2DC-E3B6-4813-A4A8-F3B3D88CC38E}" sibTransId="{4B96B0DB-F6DC-4716-B8DE-9A178CDF3B17}"/>
    <dgm:cxn modelId="{DDE3E1F2-55B6-4B9C-93C6-360D81F7ADFA}" type="presOf" srcId="{1E2FCD55-44EE-4FB6-9588-B2EC1C39E0A8}" destId="{7A00CCFC-3D69-4813-AD37-C5358E4DA6DA}" srcOrd="0" destOrd="1" presId="urn:microsoft.com/office/officeart/2005/8/layout/hList1"/>
    <dgm:cxn modelId="{A52B1879-84FA-4428-82FE-9C4F622EEA5A}" type="presOf" srcId="{73A815A9-1A1C-4334-A988-E56A221FA3F3}" destId="{F1468FFE-FBC3-4327-BFA1-6B06D8F38179}" srcOrd="0" destOrd="0" presId="urn:microsoft.com/office/officeart/2005/8/layout/hList1"/>
    <dgm:cxn modelId="{B545887A-3B21-4F7F-8677-6A82B20EE14F}" srcId="{57E11F91-582D-48AB-B2DA-AA2509DED8CB}" destId="{C760319B-992A-4AE4-96E7-C030CD62056C}" srcOrd="3" destOrd="0" parTransId="{6B3B2C4E-0B6A-4122-9B37-A64D3576B007}" sibTransId="{B3A53120-265D-469B-A489-57674C8AB6BA}"/>
    <dgm:cxn modelId="{53752F76-B982-40AE-955A-EF086AECEA70}" type="presOf" srcId="{57E11F91-582D-48AB-B2DA-AA2509DED8CB}" destId="{5BF1E078-8E73-498B-A0F8-8AA7D865D5E9}" srcOrd="0" destOrd="0" presId="urn:microsoft.com/office/officeart/2005/8/layout/hList1"/>
    <dgm:cxn modelId="{537F1782-4DFB-47A9-86B0-A6F74E9DDF3B}" type="presOf" srcId="{3BED7F73-E777-40A9-AE60-36DDBF280BCD}" destId="{A4A17313-BBB8-4BCA-894F-7893C5010761}" srcOrd="0" destOrd="0" presId="urn:microsoft.com/office/officeart/2005/8/layout/hList1"/>
    <dgm:cxn modelId="{B418E2D9-3CB5-4B79-92CD-DE9B32A64ED7}" type="presOf" srcId="{DF003DC9-C33A-48B0-962C-A4A219DA995F}" destId="{765F7355-A481-47A8-BD44-EFA740618360}" srcOrd="0" destOrd="0" presId="urn:microsoft.com/office/officeart/2005/8/layout/hList1"/>
    <dgm:cxn modelId="{26E2FFDE-5096-4BB4-9EAF-A782D569B419}" type="presParOf" srcId="{5BF1E078-8E73-498B-A0F8-8AA7D865D5E9}" destId="{10982847-711E-4185-B0A3-698218F2B022}" srcOrd="0" destOrd="0" presId="urn:microsoft.com/office/officeart/2005/8/layout/hList1"/>
    <dgm:cxn modelId="{356A6CA4-6B77-40AA-B2AF-AE07C11956C4}" type="presParOf" srcId="{10982847-711E-4185-B0A3-698218F2B022}" destId="{765F7355-A481-47A8-BD44-EFA740618360}" srcOrd="0" destOrd="0" presId="urn:microsoft.com/office/officeart/2005/8/layout/hList1"/>
    <dgm:cxn modelId="{107A2ECF-7D1C-490F-9965-58E20F5780BB}" type="presParOf" srcId="{10982847-711E-4185-B0A3-698218F2B022}" destId="{7A00CCFC-3D69-4813-AD37-C5358E4DA6DA}" srcOrd="1" destOrd="0" presId="urn:microsoft.com/office/officeart/2005/8/layout/hList1"/>
    <dgm:cxn modelId="{01FB0BDF-10AA-46A1-9770-3BB54E08ED5B}" type="presParOf" srcId="{5BF1E078-8E73-498B-A0F8-8AA7D865D5E9}" destId="{C5818F2C-39D1-43DD-A5EE-415D11D780FC}" srcOrd="1" destOrd="0" presId="urn:microsoft.com/office/officeart/2005/8/layout/hList1"/>
    <dgm:cxn modelId="{BC898765-3E84-498F-ACF1-FF6E049ED56A}" type="presParOf" srcId="{5BF1E078-8E73-498B-A0F8-8AA7D865D5E9}" destId="{8B2F7CD8-055E-4080-AFFC-12386FB05A6A}" srcOrd="2" destOrd="0" presId="urn:microsoft.com/office/officeart/2005/8/layout/hList1"/>
    <dgm:cxn modelId="{77B5559A-52E5-422D-A9B2-E2B2AC8E5A5D}" type="presParOf" srcId="{8B2F7CD8-055E-4080-AFFC-12386FB05A6A}" destId="{020D90C3-9910-45F4-904C-0AB8BF67D7F3}" srcOrd="0" destOrd="0" presId="urn:microsoft.com/office/officeart/2005/8/layout/hList1"/>
    <dgm:cxn modelId="{47D39AF1-C9C2-454B-B70E-7D266BA978AC}" type="presParOf" srcId="{8B2F7CD8-055E-4080-AFFC-12386FB05A6A}" destId="{799EBD36-9E1B-4B98-ADE9-86D9912D492B}" srcOrd="1" destOrd="0" presId="urn:microsoft.com/office/officeart/2005/8/layout/hList1"/>
    <dgm:cxn modelId="{4D9418FD-C72B-4E4A-94EC-02A253AE3442}" type="presParOf" srcId="{5BF1E078-8E73-498B-A0F8-8AA7D865D5E9}" destId="{EAF71487-E556-4F35-BC86-D92794605A40}" srcOrd="3" destOrd="0" presId="urn:microsoft.com/office/officeart/2005/8/layout/hList1"/>
    <dgm:cxn modelId="{96446A22-AD35-4EEF-A495-B455D215FD8F}" type="presParOf" srcId="{5BF1E078-8E73-498B-A0F8-8AA7D865D5E9}" destId="{2717BAEC-A8FC-4793-BBDD-05D0C51CC1C5}" srcOrd="4" destOrd="0" presId="urn:microsoft.com/office/officeart/2005/8/layout/hList1"/>
    <dgm:cxn modelId="{059CD2CB-4231-411B-9189-BE7E6F5E497D}" type="presParOf" srcId="{2717BAEC-A8FC-4793-BBDD-05D0C51CC1C5}" destId="{ACF9A916-65A8-4521-8268-F19A481F4CCE}" srcOrd="0" destOrd="0" presId="urn:microsoft.com/office/officeart/2005/8/layout/hList1"/>
    <dgm:cxn modelId="{222671E0-6708-410E-97F0-A087387FD2BA}" type="presParOf" srcId="{2717BAEC-A8FC-4793-BBDD-05D0C51CC1C5}" destId="{A4A17313-BBB8-4BCA-894F-7893C5010761}" srcOrd="1" destOrd="0" presId="urn:microsoft.com/office/officeart/2005/8/layout/hList1"/>
    <dgm:cxn modelId="{47F77B3C-4B06-40C4-A1D0-6ABE80C7FB7B}" type="presParOf" srcId="{5BF1E078-8E73-498B-A0F8-8AA7D865D5E9}" destId="{0FF46740-398D-45C4-A4EF-6F83695118BE}" srcOrd="5" destOrd="0" presId="urn:microsoft.com/office/officeart/2005/8/layout/hList1"/>
    <dgm:cxn modelId="{36976CA7-1471-4522-ADEA-70E32B0F2BDA}" type="presParOf" srcId="{5BF1E078-8E73-498B-A0F8-8AA7D865D5E9}" destId="{062F35DB-7394-4F8A-8D73-892701D3ADDD}" srcOrd="6" destOrd="0" presId="urn:microsoft.com/office/officeart/2005/8/layout/hList1"/>
    <dgm:cxn modelId="{A564194B-F878-4EEF-BE38-B6313A4381F7}" type="presParOf" srcId="{062F35DB-7394-4F8A-8D73-892701D3ADDD}" destId="{6034DE61-8997-4548-96EC-45C558DB15F4}" srcOrd="0" destOrd="0" presId="urn:microsoft.com/office/officeart/2005/8/layout/hList1"/>
    <dgm:cxn modelId="{761C5A4B-04A4-45EC-9203-A2E7A6BF7EB7}" type="presParOf" srcId="{062F35DB-7394-4F8A-8D73-892701D3ADDD}" destId="{F1468FFE-FBC3-4327-BFA1-6B06D8F38179}" srcOrd="1" destOrd="0" presId="urn:microsoft.com/office/officeart/2005/8/layout/h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A0E6B5-8D6F-46B0-B31C-C7EFF39142C9}">
      <dsp:nvSpPr>
        <dsp:cNvPr id="0" name=""/>
        <dsp:cNvSpPr/>
      </dsp:nvSpPr>
      <dsp:spPr>
        <a:xfrm>
          <a:off x="1609970" y="422118"/>
          <a:ext cx="1485654" cy="8479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0" kern="1200" dirty="0" smtClean="0"/>
            <a:t>Critical mass will only be built, if there is investment capital and ESCO interest</a:t>
          </a:r>
          <a:endParaRPr lang="en-US" sz="900" b="0" kern="1200" dirty="0"/>
        </a:p>
      </dsp:txBody>
      <dsp:txXfrm>
        <a:off x="1609970" y="422118"/>
        <a:ext cx="1485654" cy="847971"/>
      </dsp:txXfrm>
    </dsp:sp>
    <dsp:sp modelId="{F58249CA-4612-4060-9294-81614FF1FAE7}">
      <dsp:nvSpPr>
        <dsp:cNvPr id="0" name=""/>
        <dsp:cNvSpPr/>
      </dsp:nvSpPr>
      <dsp:spPr>
        <a:xfrm>
          <a:off x="725526" y="256876"/>
          <a:ext cx="1743178" cy="1532637"/>
        </a:xfrm>
        <a:prstGeom prst="circularArrow">
          <a:avLst>
            <a:gd name="adj1" fmla="val 9486"/>
            <a:gd name="adj2" fmla="val 685229"/>
            <a:gd name="adj3" fmla="val 8725252"/>
            <a:gd name="adj4" fmla="val 1253308"/>
            <a:gd name="adj5" fmla="val 11067"/>
          </a:avLst>
        </a:prstGeom>
        <a:solidFill>
          <a:schemeClr val="lt1">
            <a:hueOff val="0"/>
            <a:satOff val="0"/>
            <a:lumOff val="0"/>
            <a:alphaOff val="0"/>
          </a:schemeClr>
        </a:solidFill>
        <a:ln w="2540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sp>
    <dsp:sp modelId="{D63A9357-638B-4E35-948D-75981EE3905F}">
      <dsp:nvSpPr>
        <dsp:cNvPr id="0" name=""/>
        <dsp:cNvSpPr/>
      </dsp:nvSpPr>
      <dsp:spPr>
        <a:xfrm>
          <a:off x="38485" y="447551"/>
          <a:ext cx="1578388" cy="8479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0" kern="1200" dirty="0" smtClean="0"/>
            <a:t>Mainstream interest will only pour in, once there is a certain critical mass on ground</a:t>
          </a:r>
          <a:endParaRPr lang="en-US" sz="900" b="0" kern="1200" dirty="0"/>
        </a:p>
      </dsp:txBody>
      <dsp:txXfrm>
        <a:off x="38485" y="447551"/>
        <a:ext cx="1578388" cy="847971"/>
      </dsp:txXfrm>
    </dsp:sp>
    <dsp:sp modelId="{943E3BAB-630E-4912-B137-71A74C1B6608}">
      <dsp:nvSpPr>
        <dsp:cNvPr id="0" name=""/>
        <dsp:cNvSpPr/>
      </dsp:nvSpPr>
      <dsp:spPr>
        <a:xfrm>
          <a:off x="720287" y="-59343"/>
          <a:ext cx="1743178" cy="1743178"/>
        </a:xfrm>
        <a:prstGeom prst="circularArrow">
          <a:avLst>
            <a:gd name="adj1" fmla="val 9486"/>
            <a:gd name="adj2" fmla="val 685229"/>
            <a:gd name="adj3" fmla="val 19320751"/>
            <a:gd name="adj4" fmla="val 12254233"/>
            <a:gd name="adj5" fmla="val 11067"/>
          </a:avLst>
        </a:prstGeom>
        <a:solidFill>
          <a:schemeClr val="lt1">
            <a:hueOff val="0"/>
            <a:satOff val="0"/>
            <a:lumOff val="0"/>
            <a:alphaOff val="0"/>
          </a:schemeClr>
        </a:solidFill>
        <a:ln w="2540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5F7355-A481-47A8-BD44-EFA740618360}">
      <dsp:nvSpPr>
        <dsp:cNvPr id="0" name=""/>
        <dsp:cNvSpPr/>
      </dsp:nvSpPr>
      <dsp:spPr>
        <a:xfrm>
          <a:off x="2454" y="9276"/>
          <a:ext cx="1475767" cy="48960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IN" sz="900" kern="1200"/>
            <a:t>Structure</a:t>
          </a:r>
        </a:p>
      </dsp:txBody>
      <dsp:txXfrm>
        <a:off x="2454" y="9276"/>
        <a:ext cx="1475767" cy="489600"/>
      </dsp:txXfrm>
    </dsp:sp>
    <dsp:sp modelId="{7A00CCFC-3D69-4813-AD37-C5358E4DA6DA}">
      <dsp:nvSpPr>
        <dsp:cNvPr id="0" name=""/>
        <dsp:cNvSpPr/>
      </dsp:nvSpPr>
      <dsp:spPr>
        <a:xfrm>
          <a:off x="2454" y="498876"/>
          <a:ext cx="1475767" cy="2438246"/>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 Guarantee pool to enable credit enhancement through funding first loss </a:t>
          </a:r>
          <a:r>
            <a:rPr lang="en-US" sz="900" kern="1200">
              <a:solidFill>
                <a:sysClr val="windowText" lastClr="000000"/>
              </a:solidFill>
            </a:rPr>
            <a:t>default  ; possibly in which will supplement the existing USAID DCA pari passu guarantee</a:t>
          </a:r>
          <a:endParaRPr lang="en-IN" sz="900" kern="1200">
            <a:solidFill>
              <a:sysClr val="windowText" lastClr="000000"/>
            </a:solidFill>
          </a:endParaRPr>
        </a:p>
        <a:p>
          <a:pPr marL="57150" lvl="1" indent="-57150" algn="l" defTabSz="400050">
            <a:lnSpc>
              <a:spcPct val="90000"/>
            </a:lnSpc>
            <a:spcBef>
              <a:spcPct val="0"/>
            </a:spcBef>
            <a:spcAft>
              <a:spcPct val="15000"/>
            </a:spcAft>
            <a:buChar char="••"/>
          </a:pPr>
          <a:r>
            <a:rPr lang="en-US" sz="900" kern="1200"/>
            <a:t>The first loss of upto 15~ 20% of the total loan amount being covered by the guarantee (funded by donors/public sources) followed by pari-passu risk sharing on the remaining 80% of the loan amount. </a:t>
          </a:r>
          <a:endParaRPr lang="en-IN" sz="900" kern="1200"/>
        </a:p>
      </dsp:txBody>
      <dsp:txXfrm>
        <a:off x="2454" y="498876"/>
        <a:ext cx="1475767" cy="2438246"/>
      </dsp:txXfrm>
    </dsp:sp>
    <dsp:sp modelId="{020D90C3-9910-45F4-904C-0AB8BF67D7F3}">
      <dsp:nvSpPr>
        <dsp:cNvPr id="0" name=""/>
        <dsp:cNvSpPr/>
      </dsp:nvSpPr>
      <dsp:spPr>
        <a:xfrm>
          <a:off x="1684829" y="9276"/>
          <a:ext cx="1475767" cy="4896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IN" sz="900" kern="1200"/>
            <a:t>Host entity</a:t>
          </a:r>
        </a:p>
      </dsp:txBody>
      <dsp:txXfrm>
        <a:off x="1684829" y="9276"/>
        <a:ext cx="1475767" cy="489600"/>
      </dsp:txXfrm>
    </dsp:sp>
    <dsp:sp modelId="{799EBD36-9E1B-4B98-ADE9-86D9912D492B}">
      <dsp:nvSpPr>
        <dsp:cNvPr id="0" name=""/>
        <dsp:cNvSpPr/>
      </dsp:nvSpPr>
      <dsp:spPr>
        <a:xfrm>
          <a:off x="1684829" y="508153"/>
          <a:ext cx="1475767" cy="2438246"/>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The pilot can be conducted at CIIE (Centre for Incubation, Entrerprenuership and Environment, a leading incubator for cleantech and DRE sectors in India) - an entity working closely with MNRE and several other public sector entities; and also managing a USD 25 mn Cleantech Fund.</a:t>
          </a:r>
          <a:endParaRPr lang="en-IN" sz="900" kern="1200"/>
        </a:p>
      </dsp:txBody>
      <dsp:txXfrm>
        <a:off x="1684829" y="508153"/>
        <a:ext cx="1475767" cy="2438246"/>
      </dsp:txXfrm>
    </dsp:sp>
    <dsp:sp modelId="{ACF9A916-65A8-4521-8268-F19A481F4CCE}">
      <dsp:nvSpPr>
        <dsp:cNvPr id="0" name=""/>
        <dsp:cNvSpPr/>
      </dsp:nvSpPr>
      <dsp:spPr>
        <a:xfrm>
          <a:off x="3367203" y="9276"/>
          <a:ext cx="1475767" cy="489600"/>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IN" sz="900" kern="1200"/>
            <a:t>Funding sources</a:t>
          </a:r>
        </a:p>
      </dsp:txBody>
      <dsp:txXfrm>
        <a:off x="3367203" y="9276"/>
        <a:ext cx="1475767" cy="489600"/>
      </dsp:txXfrm>
    </dsp:sp>
    <dsp:sp modelId="{A4A17313-BBB8-4BCA-894F-7893C5010761}">
      <dsp:nvSpPr>
        <dsp:cNvPr id="0" name=""/>
        <dsp:cNvSpPr/>
      </dsp:nvSpPr>
      <dsp:spPr>
        <a:xfrm>
          <a:off x="3367203" y="498876"/>
          <a:ext cx="1475767" cy="2438246"/>
        </a:xfrm>
        <a:prstGeom prst="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IN" sz="900" kern="1200"/>
            <a:t> The guarantee can be capitalized by a blend of federal insititutional capital and private (soft) capital</a:t>
          </a:r>
        </a:p>
        <a:p>
          <a:pPr marL="57150" lvl="1" indent="-57150" algn="l" defTabSz="400050">
            <a:lnSpc>
              <a:spcPct val="90000"/>
            </a:lnSpc>
            <a:spcBef>
              <a:spcPct val="0"/>
            </a:spcBef>
            <a:spcAft>
              <a:spcPct val="15000"/>
            </a:spcAft>
            <a:buChar char="••"/>
          </a:pPr>
          <a:r>
            <a:rPr lang="en-US" sz="900" kern="1200"/>
            <a:t> Public Sources - MNRE and/or NCEF; The capital for the federal support can be channeled from the National Clean Energy Fund (NCEF). </a:t>
          </a:r>
          <a:endParaRPr lang="en-IN" sz="900" kern="1200"/>
        </a:p>
        <a:p>
          <a:pPr marL="57150" lvl="1" indent="-57150" algn="l" defTabSz="400050">
            <a:lnSpc>
              <a:spcPct val="90000"/>
            </a:lnSpc>
            <a:spcBef>
              <a:spcPct val="0"/>
            </a:spcBef>
            <a:spcAft>
              <a:spcPct val="15000"/>
            </a:spcAft>
            <a:buChar char="••"/>
          </a:pPr>
          <a:r>
            <a:rPr lang="en-IN" sz="900" kern="1200"/>
            <a:t>  Funding partners: Shell Foundation, Shakti Foundation, CLEAN and KfW have expressed initial interest. In addtion, Rockefeller Foundation could be potentially interested as well.</a:t>
          </a:r>
        </a:p>
      </dsp:txBody>
      <dsp:txXfrm>
        <a:off x="3367203" y="498876"/>
        <a:ext cx="1475767" cy="2438246"/>
      </dsp:txXfrm>
    </dsp:sp>
    <dsp:sp modelId="{6034DE61-8997-4548-96EC-45C558DB15F4}">
      <dsp:nvSpPr>
        <dsp:cNvPr id="0" name=""/>
        <dsp:cNvSpPr/>
      </dsp:nvSpPr>
      <dsp:spPr>
        <a:xfrm>
          <a:off x="5049578" y="9276"/>
          <a:ext cx="1475767" cy="489600"/>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IN" sz="900" kern="1200"/>
            <a:t>Potential Partners</a:t>
          </a:r>
        </a:p>
      </dsp:txBody>
      <dsp:txXfrm>
        <a:off x="5049578" y="9276"/>
        <a:ext cx="1475767" cy="489600"/>
      </dsp:txXfrm>
    </dsp:sp>
    <dsp:sp modelId="{F1468FFE-FBC3-4327-BFA1-6B06D8F38179}">
      <dsp:nvSpPr>
        <dsp:cNvPr id="0" name=""/>
        <dsp:cNvSpPr/>
      </dsp:nvSpPr>
      <dsp:spPr>
        <a:xfrm>
          <a:off x="5049578" y="498876"/>
          <a:ext cx="1475767" cy="2438246"/>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IN" sz="900" kern="1200"/>
            <a:t>Partner FIs: Both Yes Bank and RBL are interested in this structure</a:t>
          </a:r>
        </a:p>
        <a:p>
          <a:pPr marL="57150" lvl="1" indent="-57150" algn="l" defTabSz="400050">
            <a:lnSpc>
              <a:spcPct val="90000"/>
            </a:lnSpc>
            <a:spcBef>
              <a:spcPct val="0"/>
            </a:spcBef>
            <a:spcAft>
              <a:spcPct val="15000"/>
            </a:spcAft>
            <a:buChar char="••"/>
          </a:pPr>
          <a:r>
            <a:rPr lang="en-IN" sz="900" kern="1200"/>
            <a:t>In addition, cKers Finance, a new NBFC dedicated to DRE financing in India is a partner willing to take lower coverage (and asssume greater risk) - thereby increasing the leveragibilty of capital</a:t>
          </a:r>
        </a:p>
      </dsp:txBody>
      <dsp:txXfrm>
        <a:off x="5049578" y="498876"/>
        <a:ext cx="1475767" cy="2438246"/>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7902-3F00-4807-8DBC-E68D35F9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 common agenda Resource conscious growth &amp; investment risk in food processing</vt:lpstr>
    </vt:vector>
  </TitlesOfParts>
  <Company>Hewlett-Packard</Company>
  <LinksUpToDate>false</LinksUpToDate>
  <CharactersWithSpaces>15733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common agenda Resource conscious growth &amp; investment risk in food processing</dc:title>
  <dc:creator>Karan</dc:creator>
  <cp:lastModifiedBy>Mairi Dupar</cp:lastModifiedBy>
  <cp:revision>2</cp:revision>
  <cp:lastPrinted>2016-03-07T14:50:00Z</cp:lastPrinted>
  <dcterms:created xsi:type="dcterms:W3CDTF">2016-10-16T12:17:00Z</dcterms:created>
  <dcterms:modified xsi:type="dcterms:W3CDTF">2016-10-16T12:17:00Z</dcterms:modified>
</cp:coreProperties>
</file>