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1D" w:rsidRDefault="00CC51EA">
      <w:pPr>
        <w:pStyle w:val="BodyText"/>
        <w:rPr>
          <w:noProof/>
          <w:lang w:eastAsia="en-GB"/>
        </w:rPr>
      </w:pPr>
      <w:r>
        <w:rPr>
          <w:noProof/>
          <w:lang w:val="en-US"/>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B67314" w:rsidRPr="0036443F" w:rsidRDefault="00B67314" w:rsidP="00B67314">
      <w:pPr>
        <w:spacing w:after="0"/>
        <w:jc w:val="both"/>
        <w:rPr>
          <w:rFonts w:ascii="Arial" w:hAnsi="Arial" w:cs="Arial"/>
          <w:b/>
          <w:sz w:val="26"/>
          <w:szCs w:val="26"/>
        </w:rPr>
      </w:pPr>
      <w:r w:rsidRPr="0036443F">
        <w:rPr>
          <w:rFonts w:ascii="Arial" w:hAnsi="Arial" w:cs="Arial"/>
          <w:b/>
          <w:sz w:val="26"/>
          <w:szCs w:val="26"/>
        </w:rPr>
        <w:t>Clarification Note: CDKN Innovation Fund (Round 2)</w:t>
      </w:r>
    </w:p>
    <w:p w:rsidR="00B67314" w:rsidRPr="0036443F" w:rsidRDefault="00B67314" w:rsidP="00B67314">
      <w:pPr>
        <w:spacing w:after="0"/>
        <w:jc w:val="both"/>
        <w:rPr>
          <w:rFonts w:ascii="Arial" w:hAnsi="Arial" w:cs="Arial"/>
          <w:b/>
          <w:sz w:val="26"/>
          <w:szCs w:val="26"/>
        </w:rPr>
      </w:pPr>
      <w:r>
        <w:rPr>
          <w:rFonts w:ascii="Arial" w:hAnsi="Arial" w:cs="Arial"/>
          <w:b/>
          <w:sz w:val="26"/>
          <w:szCs w:val="26"/>
        </w:rPr>
        <w:t>Issued 13</w:t>
      </w:r>
      <w:r w:rsidRPr="0036443F">
        <w:rPr>
          <w:rFonts w:ascii="Arial" w:hAnsi="Arial" w:cs="Arial"/>
          <w:b/>
          <w:sz w:val="26"/>
          <w:szCs w:val="26"/>
        </w:rPr>
        <w:t xml:space="preserve"> July 2012</w:t>
      </w:r>
    </w:p>
    <w:p w:rsidR="00B67314" w:rsidRPr="0036443F" w:rsidRDefault="00B67314" w:rsidP="00B67314">
      <w:pPr>
        <w:spacing w:after="0"/>
        <w:jc w:val="both"/>
        <w:rPr>
          <w:rFonts w:ascii="Arial" w:hAnsi="Arial" w:cs="Arial"/>
        </w:rPr>
      </w:pPr>
    </w:p>
    <w:p w:rsidR="00B67314" w:rsidRPr="0036443F" w:rsidRDefault="00B67314" w:rsidP="00B67314">
      <w:pPr>
        <w:spacing w:after="0"/>
        <w:jc w:val="both"/>
        <w:rPr>
          <w:rFonts w:ascii="Arial" w:hAnsi="Arial" w:cs="Arial"/>
        </w:rPr>
      </w:pPr>
      <w:r w:rsidRPr="0036443F">
        <w:rPr>
          <w:rFonts w:ascii="Arial" w:hAnsi="Arial" w:cs="Arial"/>
        </w:rPr>
        <w:t xml:space="preserve">Following great interest in the launch of Round 2 of CDKN’s Innovation Fund, CDKN has received some questions from potential applicants requesting clarification on some issues. As such, CDKN has issued a Clarification Note to further clarify the scope and conditions of the Innovation Fund. If you are unsure of any of these points or wish to ask additional questions, please contact the Innovation Fund at </w:t>
      </w:r>
      <w:hyperlink r:id="rId13" w:history="1">
        <w:r w:rsidRPr="0036443F">
          <w:rPr>
            <w:rStyle w:val="Hyperlink"/>
            <w:rFonts w:ascii="Arial" w:hAnsi="Arial" w:cs="Arial"/>
          </w:rPr>
          <w:t>innovationfund@cdkn.org</w:t>
        </w:r>
      </w:hyperlink>
      <w:r w:rsidRPr="0036443F">
        <w:rPr>
          <w:rFonts w:ascii="Arial" w:hAnsi="Arial" w:cs="Arial"/>
        </w:rPr>
        <w:t>. Please note that the Clarification Note supersedes the Applicant Guidelines. In statements that differ between the two documents, please follow the Clarification Note.</w:t>
      </w:r>
    </w:p>
    <w:p w:rsidR="00B67314" w:rsidRPr="0036443F" w:rsidRDefault="00B67314" w:rsidP="00B67314">
      <w:pPr>
        <w:spacing w:after="0"/>
        <w:jc w:val="both"/>
        <w:rPr>
          <w:rFonts w:ascii="Arial" w:hAnsi="Arial" w:cs="Arial"/>
        </w:rPr>
      </w:pPr>
    </w:p>
    <w:p w:rsidR="00B67314" w:rsidRPr="0036443F" w:rsidRDefault="00B67314" w:rsidP="00B67314">
      <w:pPr>
        <w:spacing w:after="0"/>
        <w:jc w:val="both"/>
        <w:rPr>
          <w:rFonts w:ascii="Arial" w:hAnsi="Arial" w:cs="Arial"/>
        </w:rPr>
      </w:pPr>
      <w:r w:rsidRPr="0036443F">
        <w:rPr>
          <w:rFonts w:ascii="Arial" w:hAnsi="Arial" w:cs="Arial"/>
        </w:rPr>
        <w:t>CDKN would like to emphasise and clarify the following points:</w:t>
      </w:r>
    </w:p>
    <w:p w:rsidR="00B67314" w:rsidRPr="0036443F" w:rsidRDefault="00B67314" w:rsidP="00B67314">
      <w:pPr>
        <w:spacing w:after="0"/>
        <w:jc w:val="both"/>
        <w:rPr>
          <w:rFonts w:ascii="Arial" w:hAnsi="Arial" w:cs="Arial"/>
        </w:rPr>
      </w:pPr>
    </w:p>
    <w:p w:rsidR="00B67314" w:rsidRPr="0036443F" w:rsidRDefault="00B67314" w:rsidP="00B67314">
      <w:pPr>
        <w:pStyle w:val="ListParagraph"/>
        <w:numPr>
          <w:ilvl w:val="0"/>
          <w:numId w:val="42"/>
        </w:numPr>
        <w:spacing w:line="276" w:lineRule="auto"/>
        <w:rPr>
          <w:rFonts w:cs="Arial"/>
          <w:lang w:val="en-GB"/>
        </w:rPr>
      </w:pPr>
      <w:r w:rsidRPr="0036443F">
        <w:rPr>
          <w:lang w:val="en-GB"/>
        </w:rPr>
        <w:t xml:space="preserve">This support is for game-changing project ideas focused on Africa that require development and shaping through an innovation process over a maximum of 6 months. The outputs must include a proposal for the implementation of the full project. It is anticipated that the proposal would be ready for funding by any number of donors, of which CDKN could be one (see point 2 below). </w:t>
      </w:r>
      <w:r w:rsidRPr="0036443F">
        <w:rPr>
          <w:rFonts w:cs="Arial"/>
          <w:lang w:val="en-GB"/>
        </w:rPr>
        <w:t xml:space="preserve">Round 2 of the Innovation Fund will support awards of up to </w:t>
      </w:r>
      <w:r w:rsidRPr="0036443F">
        <w:rPr>
          <w:rFonts w:cs="Arial"/>
          <w:lang w:val="en-GB" w:eastAsia="en-GB"/>
        </w:rPr>
        <w:t>GBP100</w:t>
      </w:r>
      <w:proofErr w:type="gramStart"/>
      <w:r w:rsidRPr="0036443F">
        <w:rPr>
          <w:rFonts w:cs="Arial"/>
          <w:lang w:val="en-GB" w:eastAsia="en-GB"/>
        </w:rPr>
        <w:t>,000</w:t>
      </w:r>
      <w:proofErr w:type="gramEnd"/>
      <w:r w:rsidRPr="0036443F">
        <w:rPr>
          <w:rFonts w:cs="Arial"/>
          <w:lang w:val="en-GB" w:eastAsia="en-GB"/>
        </w:rPr>
        <w:t xml:space="preserve"> each, </w:t>
      </w:r>
      <w:r w:rsidRPr="0036443F">
        <w:rPr>
          <w:rFonts w:cs="Arial"/>
          <w:b/>
          <w:lang w:val="en-GB" w:eastAsia="en-GB"/>
        </w:rPr>
        <w:t>excluding Value Added Tax [VAT], but including all other applicable taxes</w:t>
      </w:r>
      <w:r w:rsidRPr="0036443F">
        <w:rPr>
          <w:rFonts w:cs="Arial"/>
          <w:lang w:val="en-GB" w:eastAsia="en-GB"/>
        </w:rPr>
        <w:t xml:space="preserve"> in the country of the LEAD Applicant. </w:t>
      </w:r>
    </w:p>
    <w:p w:rsidR="00B67314" w:rsidRPr="0036443F" w:rsidRDefault="00B67314" w:rsidP="00B67314">
      <w:pPr>
        <w:pStyle w:val="Style1"/>
        <w:spacing w:after="0"/>
        <w:contextualSpacing/>
      </w:pPr>
    </w:p>
    <w:p w:rsidR="00B67314" w:rsidRPr="0036443F" w:rsidRDefault="00B67314" w:rsidP="00B67314">
      <w:pPr>
        <w:pStyle w:val="Style1"/>
        <w:numPr>
          <w:ilvl w:val="0"/>
          <w:numId w:val="42"/>
        </w:numPr>
        <w:spacing w:after="0"/>
        <w:rPr>
          <w:rFonts w:eastAsia="Times New Roman"/>
          <w:color w:val="000000" w:themeColor="text1"/>
          <w:lang w:eastAsia="en-GB"/>
        </w:rPr>
      </w:pPr>
      <w:r w:rsidRPr="0036443F">
        <w:t xml:space="preserve">Subsequently, CDKN may provide awards of up to </w:t>
      </w:r>
      <w:r w:rsidRPr="0036443F">
        <w:rPr>
          <w:b/>
        </w:rPr>
        <w:t>GBP200</w:t>
      </w:r>
      <w:proofErr w:type="gramStart"/>
      <w:r w:rsidRPr="0036443F">
        <w:rPr>
          <w:b/>
        </w:rPr>
        <w:t>,000</w:t>
      </w:r>
      <w:proofErr w:type="gramEnd"/>
      <w:r w:rsidRPr="0036443F">
        <w:rPr>
          <w:b/>
        </w:rPr>
        <w:t xml:space="preserve"> each</w:t>
      </w:r>
      <w:r w:rsidRPr="0036443F">
        <w:rPr>
          <w:rStyle w:val="FootnoteReference"/>
        </w:rPr>
        <w:footnoteReference w:id="1"/>
      </w:r>
      <w:r w:rsidRPr="0036443F">
        <w:t xml:space="preserve"> to support the implementation of the project proposal output. The allocation of this subsequent funding is not guaranteed. It will be based on an assessment of the quality of the innovation process, the proposal and any other outputs produced once the project has been delivered</w:t>
      </w:r>
      <w:r w:rsidRPr="0036443F">
        <w:rPr>
          <w:rStyle w:val="FootnoteReference"/>
        </w:rPr>
        <w:footnoteReference w:id="2"/>
      </w:r>
      <w:r w:rsidRPr="0036443F">
        <w:t xml:space="preserve">. Projects that demonstrate strong proposals, implementation roadmaps and other high-quality outputs from these innovation processes will be more likely to receive the subsequent funding. </w:t>
      </w:r>
    </w:p>
    <w:p w:rsidR="00B67314" w:rsidRPr="0036443F" w:rsidRDefault="00B67314" w:rsidP="00B67314">
      <w:pPr>
        <w:pStyle w:val="Style1"/>
        <w:spacing w:after="0"/>
        <w:rPr>
          <w:rFonts w:eastAsia="Times New Roman"/>
          <w:color w:val="000000" w:themeColor="text1"/>
          <w:lang w:eastAsia="en-GB"/>
        </w:rPr>
      </w:pPr>
    </w:p>
    <w:p w:rsidR="00B67314" w:rsidRPr="0036443F" w:rsidRDefault="00B67314" w:rsidP="00B67314">
      <w:pPr>
        <w:pStyle w:val="ListParagraph"/>
        <w:numPr>
          <w:ilvl w:val="0"/>
          <w:numId w:val="42"/>
        </w:numPr>
        <w:spacing w:line="276" w:lineRule="auto"/>
        <w:rPr>
          <w:rFonts w:cs="Arial"/>
          <w:lang w:val="en-GB"/>
        </w:rPr>
      </w:pPr>
      <w:r w:rsidRPr="0036443F">
        <w:rPr>
          <w:rFonts w:cs="Arial"/>
          <w:lang w:val="en-GB"/>
        </w:rPr>
        <w:t xml:space="preserve">The applicant group must include </w:t>
      </w:r>
      <w:r w:rsidRPr="0036443F">
        <w:rPr>
          <w:rFonts w:cs="Arial"/>
          <w:b/>
          <w:lang w:val="en-GB"/>
        </w:rPr>
        <w:t>at least two (2) partners</w:t>
      </w:r>
      <w:r w:rsidRPr="0036443F">
        <w:rPr>
          <w:rFonts w:cs="Arial"/>
          <w:lang w:val="en-GB"/>
        </w:rPr>
        <w:t xml:space="preserve">. </w:t>
      </w:r>
      <w:r w:rsidRPr="0036443F">
        <w:rPr>
          <w:rFonts w:cs="Arial"/>
          <w:b/>
          <w:lang w:val="en-GB"/>
        </w:rPr>
        <w:t xml:space="preserve">Lead Applicants must be African institutions </w:t>
      </w:r>
      <w:r w:rsidRPr="0036443F">
        <w:rPr>
          <w:rFonts w:cs="Arial"/>
          <w:lang w:val="en-GB"/>
        </w:rPr>
        <w:t xml:space="preserve">(and not international institutions based in Africa). </w:t>
      </w:r>
      <w:r w:rsidRPr="0036443F">
        <w:rPr>
          <w:rFonts w:cs="Arial"/>
          <w:b/>
          <w:lang w:val="en-GB"/>
        </w:rPr>
        <w:t>Additional partners can be African or non-African institutions</w:t>
      </w:r>
      <w:r w:rsidRPr="0036443F">
        <w:rPr>
          <w:rFonts w:cs="Arial"/>
          <w:lang w:val="en-GB"/>
        </w:rPr>
        <w:t xml:space="preserve">. The majority of the funds (at least 60%) must be allocated to African institutions.  </w:t>
      </w:r>
    </w:p>
    <w:p w:rsidR="00B67314" w:rsidRPr="0036443F" w:rsidRDefault="00B67314" w:rsidP="00B67314">
      <w:pPr>
        <w:spacing w:after="0"/>
        <w:jc w:val="both"/>
        <w:rPr>
          <w:rFonts w:ascii="Arial" w:hAnsi="Arial" w:cs="Arial"/>
        </w:rPr>
      </w:pPr>
    </w:p>
    <w:p w:rsidR="00B67314" w:rsidRPr="0036443F" w:rsidRDefault="00B67314" w:rsidP="00B67314">
      <w:pPr>
        <w:pStyle w:val="ListParagraph"/>
        <w:numPr>
          <w:ilvl w:val="0"/>
          <w:numId w:val="42"/>
        </w:numPr>
        <w:spacing w:line="276" w:lineRule="auto"/>
        <w:contextualSpacing/>
        <w:rPr>
          <w:rFonts w:cs="Arial"/>
          <w:lang w:val="en-GB"/>
        </w:rPr>
      </w:pPr>
      <w:r w:rsidRPr="0036443F">
        <w:rPr>
          <w:rFonts w:cs="Arial"/>
          <w:lang w:val="en-GB"/>
        </w:rPr>
        <w:lastRenderedPageBreak/>
        <w:t xml:space="preserve">The applicant group should </w:t>
      </w:r>
      <w:r w:rsidRPr="0036443F">
        <w:rPr>
          <w:rFonts w:cs="Arial"/>
          <w:b/>
          <w:lang w:val="en-GB"/>
        </w:rPr>
        <w:t xml:space="preserve">ideally </w:t>
      </w:r>
      <w:r w:rsidRPr="0036443F">
        <w:rPr>
          <w:rFonts w:cs="Arial"/>
          <w:lang w:val="en-GB"/>
        </w:rPr>
        <w:t>include government institutions</w:t>
      </w:r>
      <w:r w:rsidRPr="0036443F">
        <w:rPr>
          <w:rFonts w:cs="Arial"/>
          <w:b/>
          <w:lang w:val="en-GB"/>
        </w:rPr>
        <w:t xml:space="preserve">. </w:t>
      </w:r>
      <w:r w:rsidRPr="0036443F">
        <w:rPr>
          <w:rFonts w:cs="Arial"/>
          <w:lang w:val="en-GB"/>
        </w:rPr>
        <w:t>If not, you must be able to demonstrate significant government buy-in including and beyond a letter of demand</w:t>
      </w:r>
      <w:r w:rsidRPr="0036443F">
        <w:rPr>
          <w:rStyle w:val="FootnoteReference"/>
          <w:rFonts w:cs="Arial"/>
        </w:rPr>
        <w:footnoteReference w:id="3"/>
      </w:r>
      <w:r w:rsidRPr="0036443F">
        <w:rPr>
          <w:rFonts w:cs="Arial"/>
          <w:lang w:val="en-GB"/>
        </w:rPr>
        <w:t xml:space="preserve">. </w:t>
      </w:r>
    </w:p>
    <w:p w:rsidR="00B67314" w:rsidRPr="0036443F" w:rsidRDefault="00B67314" w:rsidP="00B67314">
      <w:pPr>
        <w:spacing w:after="0"/>
        <w:contextualSpacing/>
        <w:jc w:val="both"/>
        <w:rPr>
          <w:rFonts w:ascii="Arial" w:hAnsi="Arial" w:cs="Arial"/>
        </w:rPr>
      </w:pPr>
    </w:p>
    <w:p w:rsidR="00B67314" w:rsidRPr="0036443F" w:rsidRDefault="00B67314" w:rsidP="00B67314">
      <w:pPr>
        <w:pStyle w:val="ListParagraph"/>
        <w:numPr>
          <w:ilvl w:val="0"/>
          <w:numId w:val="42"/>
        </w:numPr>
        <w:shd w:val="clear" w:color="auto" w:fill="FFFFFF"/>
        <w:spacing w:line="276" w:lineRule="auto"/>
        <w:rPr>
          <w:rFonts w:eastAsia="Times New Roman" w:cs="Arial"/>
          <w:lang w:val="en-GB" w:eastAsia="en-GB"/>
        </w:rPr>
      </w:pPr>
      <w:r w:rsidRPr="0036443F">
        <w:rPr>
          <w:rFonts w:cs="Arial"/>
          <w:lang w:val="en-GB"/>
        </w:rPr>
        <w:t xml:space="preserve">Projects can focus at </w:t>
      </w:r>
      <w:r w:rsidRPr="0036443F">
        <w:rPr>
          <w:rFonts w:eastAsia="Times New Roman" w:cs="Arial"/>
          <w:lang w:val="en-GB" w:eastAsia="en-GB"/>
        </w:rPr>
        <w:t>regional, national and/or sub</w:t>
      </w:r>
      <w:r>
        <w:rPr>
          <w:rFonts w:eastAsia="Times New Roman" w:cs="Arial"/>
          <w:lang w:val="en-GB" w:eastAsia="en-GB"/>
        </w:rPr>
        <w:t>-</w:t>
      </w:r>
      <w:r w:rsidRPr="0036443F">
        <w:rPr>
          <w:rFonts w:eastAsia="Times New Roman" w:cs="Arial"/>
          <w:lang w:val="en-GB" w:eastAsia="en-GB"/>
        </w:rPr>
        <w:t xml:space="preserve">national in </w:t>
      </w:r>
      <w:r w:rsidRPr="0036443F">
        <w:rPr>
          <w:lang w:val="en-GB"/>
        </w:rPr>
        <w:t xml:space="preserve">African </w:t>
      </w:r>
      <w:r w:rsidRPr="0036443F">
        <w:rPr>
          <w:rFonts w:eastAsia="Times New Roman" w:cs="Arial"/>
          <w:lang w:val="en-GB" w:eastAsia="en-GB"/>
        </w:rPr>
        <w:t xml:space="preserve">countries, and may involve </w:t>
      </w:r>
      <w:r w:rsidRPr="0036443F">
        <w:rPr>
          <w:rFonts w:eastAsia="Times New Roman" w:cs="Arial"/>
          <w:b/>
          <w:lang w:val="en-GB" w:eastAsia="en-GB"/>
        </w:rPr>
        <w:t>one or more</w:t>
      </w:r>
      <w:r w:rsidRPr="0036443F">
        <w:rPr>
          <w:rFonts w:eastAsia="Times New Roman" w:cs="Arial"/>
          <w:lang w:val="en-GB" w:eastAsia="en-GB"/>
        </w:rPr>
        <w:t xml:space="preserve"> countries of study. </w:t>
      </w:r>
    </w:p>
    <w:p w:rsidR="00B67314" w:rsidRPr="0036443F" w:rsidRDefault="00B67314" w:rsidP="00B67314">
      <w:pPr>
        <w:shd w:val="clear" w:color="auto" w:fill="FFFFFF"/>
        <w:spacing w:after="0"/>
        <w:jc w:val="both"/>
        <w:rPr>
          <w:rFonts w:ascii="Arial" w:eastAsia="Times New Roman" w:hAnsi="Arial" w:cs="Arial"/>
          <w:color w:val="000000"/>
          <w:lang w:eastAsia="en-GB"/>
        </w:rPr>
      </w:pPr>
    </w:p>
    <w:p w:rsidR="00B67314" w:rsidRPr="0036443F" w:rsidRDefault="00B67314" w:rsidP="00B67314">
      <w:pPr>
        <w:pStyle w:val="ListParagraph"/>
        <w:numPr>
          <w:ilvl w:val="0"/>
          <w:numId w:val="42"/>
        </w:numPr>
        <w:shd w:val="clear" w:color="auto" w:fill="FFFFFF"/>
        <w:spacing w:line="276" w:lineRule="auto"/>
        <w:rPr>
          <w:rFonts w:eastAsia="Times New Roman" w:cs="Arial"/>
          <w:color w:val="000000"/>
          <w:lang w:val="en-GB" w:eastAsia="en-GB"/>
        </w:rPr>
      </w:pPr>
      <w:r w:rsidRPr="0036443F">
        <w:rPr>
          <w:rFonts w:eastAsia="Times New Roman" w:cs="Arial"/>
          <w:color w:val="000000"/>
          <w:lang w:val="en-GB" w:eastAsia="en-GB"/>
        </w:rPr>
        <w:t xml:space="preserve">Applications must align to </w:t>
      </w:r>
      <w:r w:rsidRPr="0036443F">
        <w:rPr>
          <w:rFonts w:eastAsia="Times New Roman" w:cs="Arial"/>
          <w:b/>
          <w:color w:val="000000"/>
          <w:lang w:val="en-GB" w:eastAsia="en-GB"/>
        </w:rPr>
        <w:t>one or more</w:t>
      </w:r>
      <w:r w:rsidRPr="0036443F">
        <w:rPr>
          <w:rFonts w:eastAsia="Times New Roman" w:cs="Arial"/>
          <w:color w:val="000000"/>
          <w:lang w:val="en-GB" w:eastAsia="en-GB"/>
        </w:rPr>
        <w:t xml:space="preserve"> of CDKN’s thematic priorities, which are:</w:t>
      </w:r>
    </w:p>
    <w:p w:rsidR="00B67314" w:rsidRPr="0036443F" w:rsidRDefault="00B67314" w:rsidP="00B67314">
      <w:pPr>
        <w:autoSpaceDE w:val="0"/>
        <w:autoSpaceDN w:val="0"/>
        <w:adjustRightInd w:val="0"/>
        <w:spacing w:after="0"/>
        <w:ind w:firstLine="360"/>
        <w:jc w:val="both"/>
        <w:rPr>
          <w:rFonts w:ascii="Arial" w:hAnsi="Arial" w:cs="Arial"/>
          <w:b/>
        </w:rPr>
      </w:pPr>
      <w:r w:rsidRPr="0036443F">
        <w:rPr>
          <w:rFonts w:ascii="Arial" w:hAnsi="Arial" w:cs="Arial"/>
          <w:b/>
        </w:rPr>
        <w:t xml:space="preserve">CDKN’s thematic priorities: </w:t>
      </w:r>
    </w:p>
    <w:p w:rsidR="00B67314" w:rsidRPr="0036443F" w:rsidRDefault="00B67314" w:rsidP="00B67314">
      <w:pPr>
        <w:pStyle w:val="ListParagraph"/>
        <w:numPr>
          <w:ilvl w:val="0"/>
          <w:numId w:val="40"/>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Climate compatible development strategies and plans</w:t>
      </w:r>
    </w:p>
    <w:p w:rsidR="00B67314" w:rsidRPr="0036443F" w:rsidRDefault="00B67314" w:rsidP="00B67314">
      <w:pPr>
        <w:pStyle w:val="ListParagraph"/>
        <w:numPr>
          <w:ilvl w:val="0"/>
          <w:numId w:val="40"/>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Improving developing countries’ access to climate finance</w:t>
      </w:r>
    </w:p>
    <w:p w:rsidR="00B67314" w:rsidRPr="0036443F" w:rsidRDefault="00B67314" w:rsidP="00B67314">
      <w:pPr>
        <w:pStyle w:val="ListParagraph"/>
        <w:numPr>
          <w:ilvl w:val="0"/>
          <w:numId w:val="40"/>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Strengthening resilience through climate-related disaster risk management</w:t>
      </w:r>
    </w:p>
    <w:p w:rsidR="00B67314" w:rsidRPr="0036443F" w:rsidRDefault="00B67314" w:rsidP="00B67314">
      <w:pPr>
        <w:pStyle w:val="ListParagraph"/>
        <w:numPr>
          <w:ilvl w:val="0"/>
          <w:numId w:val="40"/>
        </w:numPr>
        <w:autoSpaceDE w:val="0"/>
        <w:autoSpaceDN w:val="0"/>
        <w:adjustRightInd w:val="0"/>
        <w:spacing w:line="276" w:lineRule="auto"/>
        <w:rPr>
          <w:rFonts w:cs="Arial"/>
          <w:lang w:val="en-GB"/>
        </w:rPr>
      </w:pPr>
      <w:r w:rsidRPr="0036443F">
        <w:rPr>
          <w:rFonts w:eastAsia="Times New Roman" w:cs="Arial"/>
          <w:color w:val="000000"/>
          <w:lang w:val="en-GB" w:eastAsia="en-GB"/>
        </w:rPr>
        <w:t>Supporting climate negotiators</w:t>
      </w:r>
      <w:r w:rsidRPr="0036443F">
        <w:rPr>
          <w:rFonts w:cs="Arial"/>
          <w:lang w:val="en-GB"/>
        </w:rPr>
        <w:t xml:space="preserve"> from the Least Developed Countries (LDCs)</w:t>
      </w:r>
    </w:p>
    <w:p w:rsidR="00B67314" w:rsidRPr="0036443F" w:rsidRDefault="00B67314" w:rsidP="00B67314">
      <w:pPr>
        <w:autoSpaceDE w:val="0"/>
        <w:autoSpaceDN w:val="0"/>
        <w:adjustRightInd w:val="0"/>
        <w:spacing w:after="0"/>
        <w:jc w:val="both"/>
        <w:rPr>
          <w:rFonts w:ascii="Arial" w:hAnsi="Arial" w:cs="Arial"/>
        </w:rPr>
      </w:pPr>
    </w:p>
    <w:p w:rsidR="00B67314" w:rsidRPr="0036443F" w:rsidRDefault="00B67314" w:rsidP="00B67314">
      <w:pPr>
        <w:autoSpaceDE w:val="0"/>
        <w:autoSpaceDN w:val="0"/>
        <w:adjustRightInd w:val="0"/>
        <w:spacing w:after="0"/>
        <w:ind w:firstLine="360"/>
        <w:jc w:val="both"/>
        <w:rPr>
          <w:rFonts w:ascii="Arial" w:hAnsi="Arial" w:cs="Arial"/>
          <w:b/>
        </w:rPr>
      </w:pPr>
      <w:r w:rsidRPr="0036443F">
        <w:rPr>
          <w:rFonts w:ascii="Arial" w:hAnsi="Arial" w:cs="Arial"/>
          <w:b/>
        </w:rPr>
        <w:t xml:space="preserve">CDKN’s thematic priorities in Africa: </w:t>
      </w:r>
    </w:p>
    <w:p w:rsidR="00B67314" w:rsidRPr="0036443F" w:rsidRDefault="00B67314" w:rsidP="00B67314">
      <w:pPr>
        <w:pStyle w:val="ListParagraph"/>
        <w:numPr>
          <w:ilvl w:val="0"/>
          <w:numId w:val="40"/>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Improving access to clean energy solutions in Africa</w:t>
      </w:r>
    </w:p>
    <w:p w:rsidR="00B67314" w:rsidRPr="0036443F" w:rsidRDefault="00B67314" w:rsidP="00B67314">
      <w:pPr>
        <w:pStyle w:val="ListParagraph"/>
        <w:numPr>
          <w:ilvl w:val="0"/>
          <w:numId w:val="39"/>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Addressing climate resilience in the water sector in Africa</w:t>
      </w:r>
    </w:p>
    <w:p w:rsidR="00B67314" w:rsidRPr="0036443F" w:rsidRDefault="00B67314" w:rsidP="00B67314">
      <w:pPr>
        <w:pStyle w:val="ListParagraph"/>
        <w:numPr>
          <w:ilvl w:val="0"/>
          <w:numId w:val="39"/>
        </w:numPr>
        <w:autoSpaceDE w:val="0"/>
        <w:autoSpaceDN w:val="0"/>
        <w:adjustRightInd w:val="0"/>
        <w:spacing w:line="276" w:lineRule="auto"/>
        <w:rPr>
          <w:rFonts w:eastAsia="Times New Roman" w:cs="Arial"/>
          <w:color w:val="000000"/>
          <w:lang w:val="en-GB" w:eastAsia="en-GB"/>
        </w:rPr>
      </w:pPr>
      <w:r w:rsidRPr="0036443F">
        <w:rPr>
          <w:rFonts w:eastAsia="Times New Roman" w:cs="Arial"/>
          <w:color w:val="000000"/>
          <w:lang w:val="en-GB" w:eastAsia="en-GB"/>
        </w:rPr>
        <w:t xml:space="preserve">Strengthening African institutional capacity for implementing climate compatible development </w:t>
      </w:r>
    </w:p>
    <w:p w:rsidR="00B67314" w:rsidRPr="0036443F" w:rsidRDefault="00B67314" w:rsidP="00B67314">
      <w:pPr>
        <w:pStyle w:val="Style1"/>
        <w:numPr>
          <w:ilvl w:val="0"/>
          <w:numId w:val="41"/>
        </w:numPr>
        <w:spacing w:after="0"/>
        <w:ind w:left="714" w:hanging="357"/>
        <w:contextualSpacing/>
      </w:pPr>
      <w:r w:rsidRPr="0036443F">
        <w:t>Supporting African leadership in climate compatible development research and practice</w:t>
      </w:r>
    </w:p>
    <w:p w:rsidR="00B67314" w:rsidRPr="0036443F" w:rsidRDefault="00B67314" w:rsidP="00B67314">
      <w:pPr>
        <w:pStyle w:val="Style1"/>
        <w:spacing w:after="0"/>
        <w:ind w:left="714"/>
        <w:contextualSpacing/>
      </w:pPr>
    </w:p>
    <w:p w:rsidR="00B67314" w:rsidRPr="0036443F" w:rsidRDefault="00B67314" w:rsidP="00B67314">
      <w:pPr>
        <w:pStyle w:val="ListParagraph"/>
        <w:numPr>
          <w:ilvl w:val="0"/>
          <w:numId w:val="42"/>
        </w:numPr>
        <w:spacing w:line="276" w:lineRule="auto"/>
        <w:contextualSpacing/>
        <w:rPr>
          <w:rFonts w:cs="Arial"/>
          <w:lang w:val="en-GB"/>
        </w:rPr>
      </w:pPr>
      <w:r w:rsidRPr="0036443F">
        <w:rPr>
          <w:rFonts w:cs="Arial"/>
          <w:lang w:val="en-GB"/>
        </w:rPr>
        <w:t xml:space="preserve">Project examples are provided in the Applicant Guidelines on page 9. </w:t>
      </w:r>
      <w:r w:rsidRPr="0036443F">
        <w:rPr>
          <w:rFonts w:eastAsia="Times New Roman" w:cs="Arial"/>
          <w:color w:val="000000"/>
          <w:lang w:val="en-GB" w:eastAsia="en-GB"/>
        </w:rPr>
        <w:t>Please note</w:t>
      </w:r>
      <w:r w:rsidRPr="0036443F">
        <w:rPr>
          <w:rFonts w:eastAsia="Times New Roman" w:cs="Arial"/>
          <w:i/>
          <w:color w:val="000000"/>
          <w:lang w:val="en-GB" w:eastAsia="en-GB"/>
        </w:rPr>
        <w:t xml:space="preserve"> </w:t>
      </w:r>
      <w:r w:rsidRPr="0036443F">
        <w:rPr>
          <w:rFonts w:eastAsia="Times New Roman" w:cs="Arial"/>
          <w:color w:val="000000"/>
          <w:lang w:val="en-GB" w:eastAsia="en-GB"/>
        </w:rPr>
        <w:t xml:space="preserve">that these are </w:t>
      </w:r>
      <w:r w:rsidRPr="0036443F">
        <w:rPr>
          <w:rFonts w:eastAsia="Times New Roman" w:cs="Arial"/>
          <w:b/>
          <w:color w:val="000000"/>
          <w:lang w:val="en-GB" w:eastAsia="en-GB"/>
        </w:rPr>
        <w:t>illustrative examples only</w:t>
      </w:r>
      <w:r w:rsidRPr="0036443F">
        <w:rPr>
          <w:rFonts w:eastAsia="Times New Roman" w:cs="Arial"/>
          <w:color w:val="000000"/>
          <w:lang w:val="en-GB" w:eastAsia="en-GB"/>
        </w:rPr>
        <w:t xml:space="preserve">. CDKN welcomes a range of varied applications that meet the thematic priorities outlined above. </w:t>
      </w:r>
    </w:p>
    <w:p w:rsidR="00B67314" w:rsidRPr="0036443F" w:rsidRDefault="00B67314" w:rsidP="00B67314">
      <w:pPr>
        <w:pStyle w:val="ListParagraph"/>
        <w:spacing w:line="276" w:lineRule="auto"/>
        <w:ind w:left="360"/>
        <w:contextualSpacing/>
        <w:rPr>
          <w:rFonts w:cs="Arial"/>
          <w:lang w:val="en-GB"/>
        </w:rPr>
      </w:pPr>
    </w:p>
    <w:p w:rsidR="00B67314" w:rsidRPr="0036443F" w:rsidRDefault="00B67314" w:rsidP="00B67314">
      <w:pPr>
        <w:pStyle w:val="BodyText"/>
        <w:numPr>
          <w:ilvl w:val="0"/>
          <w:numId w:val="42"/>
        </w:numPr>
        <w:spacing w:after="0"/>
        <w:jc w:val="both"/>
        <w:rPr>
          <w:rFonts w:ascii="Arial" w:hAnsi="Arial" w:cs="Arial"/>
        </w:rPr>
      </w:pPr>
      <w:r w:rsidRPr="0036443F">
        <w:rPr>
          <w:rFonts w:ascii="Arial" w:hAnsi="Arial" w:cs="Arial"/>
        </w:rPr>
        <w:t xml:space="preserve">Applications are welcomed from Anglophone, </w:t>
      </w:r>
      <w:proofErr w:type="spellStart"/>
      <w:r w:rsidRPr="0036443F">
        <w:rPr>
          <w:rFonts w:ascii="Arial" w:hAnsi="Arial" w:cs="Arial"/>
        </w:rPr>
        <w:t>Arabophone</w:t>
      </w:r>
      <w:proofErr w:type="spellEnd"/>
      <w:r w:rsidRPr="0036443F">
        <w:rPr>
          <w:rFonts w:ascii="Arial" w:hAnsi="Arial" w:cs="Arial"/>
        </w:rPr>
        <w:t xml:space="preserve">, Francophone and </w:t>
      </w:r>
      <w:proofErr w:type="spellStart"/>
      <w:r w:rsidRPr="0036443F">
        <w:rPr>
          <w:rFonts w:ascii="Arial" w:hAnsi="Arial" w:cs="Arial"/>
        </w:rPr>
        <w:t>Lusophone</w:t>
      </w:r>
      <w:proofErr w:type="spellEnd"/>
      <w:r w:rsidRPr="0036443F">
        <w:rPr>
          <w:rFonts w:ascii="Arial" w:hAnsi="Arial" w:cs="Arial"/>
        </w:rPr>
        <w:t xml:space="preserve"> Africa. Please note, however, that the project proposal and any other project deliverables </w:t>
      </w:r>
      <w:r w:rsidRPr="0036443F">
        <w:rPr>
          <w:rFonts w:ascii="Arial" w:hAnsi="Arial" w:cs="Arial"/>
          <w:b/>
        </w:rPr>
        <w:t>must be submitted in English</w:t>
      </w:r>
      <w:r w:rsidRPr="0036443F">
        <w:rPr>
          <w:rFonts w:ascii="Arial" w:hAnsi="Arial" w:cs="Arial"/>
        </w:rPr>
        <w:t>. Translation costs must be included in the project budget section of the Application Form.</w:t>
      </w:r>
    </w:p>
    <w:p w:rsidR="00B67314" w:rsidRPr="0036443F" w:rsidRDefault="00B67314" w:rsidP="00B67314">
      <w:pPr>
        <w:shd w:val="clear" w:color="auto" w:fill="FFFFFF"/>
        <w:spacing w:after="0"/>
        <w:jc w:val="both"/>
        <w:rPr>
          <w:rFonts w:ascii="Arial" w:eastAsia="Times New Roman" w:hAnsi="Arial" w:cs="Arial"/>
          <w:color w:val="000000"/>
          <w:lang w:eastAsia="en-GB"/>
        </w:rPr>
      </w:pPr>
    </w:p>
    <w:p w:rsidR="00B67314" w:rsidRPr="0036443F" w:rsidRDefault="00B67314" w:rsidP="00B67314">
      <w:pPr>
        <w:pStyle w:val="ListParagraph"/>
        <w:numPr>
          <w:ilvl w:val="0"/>
          <w:numId w:val="42"/>
        </w:numPr>
        <w:autoSpaceDE w:val="0"/>
        <w:autoSpaceDN w:val="0"/>
        <w:spacing w:line="276" w:lineRule="auto"/>
        <w:rPr>
          <w:rFonts w:cs="Arial"/>
          <w:color w:val="000000"/>
          <w:lang w:val="en-GB"/>
        </w:rPr>
      </w:pPr>
      <w:r w:rsidRPr="0036443F">
        <w:rPr>
          <w:rFonts w:cs="Arial"/>
          <w:color w:val="000000"/>
          <w:lang w:val="en-GB"/>
        </w:rPr>
        <w:t xml:space="preserve">CDKN requires organisations to have a UK Service Agent for contracting purposes. </w:t>
      </w:r>
      <w:r w:rsidRPr="0036443F">
        <w:rPr>
          <w:lang w:val="en-GB"/>
        </w:rPr>
        <w:t>A Service Agent will ‘accept service of notices, proceedings or documents on behalf of their overseas clients in situations where, usually because of contractual obligations, it is not possible for them to be served abroad’</w:t>
      </w:r>
      <w:r w:rsidRPr="0036443F">
        <w:rPr>
          <w:rStyle w:val="FootnoteReference"/>
        </w:rPr>
        <w:footnoteReference w:id="4"/>
      </w:r>
      <w:r w:rsidRPr="0036443F">
        <w:rPr>
          <w:lang w:val="en-GB"/>
        </w:rPr>
        <w:t>.</w:t>
      </w:r>
      <w:r>
        <w:rPr>
          <w:lang w:val="en-GB"/>
        </w:rPr>
        <w:t xml:space="preserve"> </w:t>
      </w:r>
      <w:r w:rsidRPr="0036443F">
        <w:rPr>
          <w:rFonts w:cs="Arial"/>
          <w:color w:val="000000"/>
          <w:lang w:val="en-GB"/>
        </w:rPr>
        <w:t xml:space="preserve">CDKN will cover the costs of the service agent if included in the project budget (typically GBP600). </w:t>
      </w:r>
    </w:p>
    <w:p w:rsidR="00B67314" w:rsidRPr="0036443F" w:rsidRDefault="00B67314" w:rsidP="00B67314">
      <w:pPr>
        <w:pStyle w:val="ListParagraph"/>
        <w:shd w:val="clear" w:color="auto" w:fill="FFFFFF"/>
        <w:spacing w:line="276" w:lineRule="auto"/>
        <w:ind w:left="360"/>
        <w:rPr>
          <w:rFonts w:eastAsia="Times New Roman" w:cs="Arial"/>
          <w:color w:val="000000"/>
          <w:lang w:val="en-GB" w:eastAsia="en-GB"/>
        </w:rPr>
      </w:pPr>
    </w:p>
    <w:p w:rsidR="00B67314" w:rsidRPr="0036443F" w:rsidRDefault="00B67314" w:rsidP="00B67314">
      <w:pPr>
        <w:pStyle w:val="ListParagraph"/>
        <w:numPr>
          <w:ilvl w:val="0"/>
          <w:numId w:val="42"/>
        </w:numPr>
        <w:shd w:val="clear" w:color="auto" w:fill="FFFFFF"/>
        <w:spacing w:line="276" w:lineRule="auto"/>
        <w:rPr>
          <w:rFonts w:eastAsia="Times New Roman" w:cs="Arial"/>
          <w:color w:val="000000"/>
          <w:lang w:val="en-GB" w:eastAsia="en-GB"/>
        </w:rPr>
      </w:pPr>
      <w:r w:rsidRPr="0036443F">
        <w:rPr>
          <w:rFonts w:eastAsia="Times New Roman" w:cs="Arial"/>
          <w:color w:val="000000"/>
          <w:lang w:val="en-GB" w:eastAsia="en-GB"/>
        </w:rPr>
        <w:t>Please note the following clarification on the evaluation criteria related to ‘Fostering Partnerships and Networks’ (Annex 1, page18 of the Applicant Guidelines):</w:t>
      </w:r>
    </w:p>
    <w:p w:rsidR="00B67314" w:rsidRPr="0036443F" w:rsidRDefault="00B67314" w:rsidP="00B67314">
      <w:pPr>
        <w:pStyle w:val="ListParagraph"/>
        <w:shd w:val="clear" w:color="auto" w:fill="FFFFFF"/>
        <w:spacing w:line="276" w:lineRule="auto"/>
        <w:ind w:left="360"/>
        <w:rPr>
          <w:rFonts w:eastAsia="Times New Roman" w:cs="Arial"/>
          <w:color w:val="000000"/>
          <w:lang w:val="en-GB" w:eastAsia="en-GB"/>
        </w:rPr>
      </w:pPr>
    </w:p>
    <w:p w:rsidR="00B67314" w:rsidRPr="0036443F" w:rsidRDefault="00B67314" w:rsidP="00B67314">
      <w:pPr>
        <w:pStyle w:val="ListParagraph"/>
        <w:shd w:val="clear" w:color="auto" w:fill="FFFFFF"/>
        <w:spacing w:line="276" w:lineRule="auto"/>
        <w:ind w:left="360"/>
        <w:rPr>
          <w:rFonts w:eastAsia="Times New Roman" w:cs="Arial"/>
          <w:color w:val="000000"/>
          <w:lang w:val="en-GB" w:eastAsia="en-GB"/>
        </w:rPr>
      </w:pPr>
      <w:r w:rsidRPr="0036443F">
        <w:rPr>
          <w:rFonts w:eastAsia="Times New Roman" w:cs="Arial"/>
          <w:color w:val="000000"/>
          <w:lang w:val="en-GB" w:eastAsia="en-GB"/>
        </w:rPr>
        <w:lastRenderedPageBreak/>
        <w:t xml:space="preserve">Under this criterion it states that ‘All projects must have at least two African partners and the Lead Applicant must be African’, which implies that if an international organisation is part of the partnership at least three partners are required to satisfy the criterion for two African partners. To clarify, all projects must include at </w:t>
      </w:r>
      <w:r w:rsidRPr="0036443F">
        <w:rPr>
          <w:rFonts w:eastAsia="Times New Roman" w:cs="Arial"/>
          <w:b/>
          <w:color w:val="000000"/>
          <w:lang w:val="en-GB" w:eastAsia="en-GB"/>
        </w:rPr>
        <w:t>least two (2) partners</w:t>
      </w:r>
      <w:r w:rsidRPr="0036443F">
        <w:rPr>
          <w:rFonts w:eastAsia="Times New Roman" w:cs="Arial"/>
          <w:color w:val="000000"/>
          <w:lang w:val="en-GB" w:eastAsia="en-GB"/>
        </w:rPr>
        <w:t xml:space="preserve"> and the Lead Applicants must be an African institution (and not an international institution based in Africa). </w:t>
      </w:r>
      <w:r w:rsidRPr="0036443F">
        <w:rPr>
          <w:rFonts w:eastAsia="Times New Roman" w:cs="Arial"/>
          <w:b/>
          <w:color w:val="000000"/>
          <w:lang w:val="en-GB" w:eastAsia="en-GB"/>
        </w:rPr>
        <w:t>Additional partners can be African or non-African institutions</w:t>
      </w:r>
      <w:r w:rsidRPr="0036443F">
        <w:rPr>
          <w:rFonts w:eastAsia="Times New Roman" w:cs="Arial"/>
          <w:color w:val="000000"/>
          <w:lang w:val="en-GB" w:eastAsia="en-GB"/>
        </w:rPr>
        <w:t xml:space="preserve">. </w:t>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67314" w:rsidRDefault="00B67314">
      <w:pPr>
        <w:rPr>
          <w:rFonts w:ascii="Arial" w:hAnsi="Arial" w:cs="Arial"/>
          <w:b/>
          <w:color w:val="C00000"/>
          <w:sz w:val="44"/>
          <w:szCs w:val="44"/>
        </w:rPr>
      </w:pPr>
      <w:r>
        <w:rPr>
          <w:rFonts w:ascii="Arial" w:hAnsi="Arial" w:cs="Arial"/>
          <w:b/>
          <w:color w:val="C00000"/>
          <w:sz w:val="44"/>
          <w:szCs w:val="44"/>
        </w:rPr>
        <w:br w:type="page"/>
      </w:r>
    </w:p>
    <w:p w:rsidR="00B67314" w:rsidRDefault="00B67314">
      <w:pPr>
        <w:pStyle w:val="BodyText"/>
        <w:rPr>
          <w:rFonts w:ascii="Arial" w:hAnsi="Arial" w:cs="Arial"/>
          <w:b/>
          <w:color w:val="C00000"/>
          <w:sz w:val="44"/>
          <w:szCs w:val="44"/>
        </w:rPr>
      </w:pPr>
    </w:p>
    <w:p w:rsidR="00B67314" w:rsidRDefault="00B67314">
      <w:pPr>
        <w:pStyle w:val="BodyText"/>
        <w:rPr>
          <w:rFonts w:ascii="Arial" w:hAnsi="Arial" w:cs="Arial"/>
          <w:b/>
          <w:color w:val="C00000"/>
          <w:sz w:val="44"/>
          <w:szCs w:val="44"/>
        </w:rPr>
      </w:pPr>
      <w:r w:rsidRPr="00B67314">
        <w:rPr>
          <w:rFonts w:ascii="Arial" w:hAnsi="Arial" w:cs="Arial"/>
          <w:b/>
          <w:noProof/>
          <w:color w:val="C00000"/>
          <w:sz w:val="44"/>
          <w:szCs w:val="44"/>
          <w:lang w:val="en-US"/>
        </w:rPr>
        <w:drawing>
          <wp:anchor distT="0" distB="0" distL="114300" distR="114300" simplePos="0" relativeHeight="251665408" behindDoc="0" locked="0" layoutInCell="1" allowOverlap="0">
            <wp:simplePos x="0" y="0"/>
            <wp:positionH relativeFrom="column">
              <wp:posOffset>-219075</wp:posOffset>
            </wp:positionH>
            <wp:positionV relativeFrom="paragraph">
              <wp:posOffset>-379095</wp:posOffset>
            </wp:positionV>
            <wp:extent cx="2722880" cy="1181100"/>
            <wp:effectExtent l="19050" t="0" r="1270" b="0"/>
            <wp:wrapNone/>
            <wp:docPr id="3"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B67314" w:rsidRDefault="00B67314">
      <w:pPr>
        <w:pStyle w:val="BodyText"/>
        <w:rPr>
          <w:rFonts w:ascii="Arial" w:hAnsi="Arial" w:cs="Arial"/>
          <w:b/>
          <w:color w:val="C00000"/>
          <w:sz w:val="44"/>
          <w:szCs w:val="44"/>
        </w:rPr>
      </w:pPr>
    </w:p>
    <w:p w:rsidR="00B67314" w:rsidRDefault="00B67314">
      <w:pPr>
        <w:pStyle w:val="BodyText"/>
        <w:rPr>
          <w:rFonts w:ascii="Arial" w:hAnsi="Arial" w:cs="Arial"/>
          <w:b/>
          <w:color w:val="C00000"/>
          <w:sz w:val="44"/>
          <w:szCs w:val="44"/>
        </w:rPr>
      </w:pPr>
    </w:p>
    <w:p w:rsidR="00B67314" w:rsidRDefault="00B67314">
      <w:pPr>
        <w:pStyle w:val="BodyText"/>
        <w:rPr>
          <w:rFonts w:ascii="Arial" w:hAnsi="Arial" w:cs="Arial"/>
          <w:b/>
          <w:color w:val="C00000"/>
          <w:sz w:val="44"/>
          <w:szCs w:val="44"/>
        </w:rPr>
      </w:pPr>
    </w:p>
    <w:p w:rsidR="00B67314" w:rsidRDefault="00B67314">
      <w:pPr>
        <w:pStyle w:val="BodyText"/>
        <w:rPr>
          <w:rFonts w:ascii="Arial" w:hAnsi="Arial" w:cs="Arial"/>
          <w:b/>
          <w:color w:val="C00000"/>
          <w:sz w:val="44"/>
          <w:szCs w:val="44"/>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803BB9">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4"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5"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0" w:name="Background"/>
      <w:r>
        <w:lastRenderedPageBreak/>
        <w:t>Applicant Guidelines</w:t>
      </w:r>
      <w:r w:rsidR="00544185">
        <w:t xml:space="preserve"> </w:t>
      </w:r>
      <w:r w:rsidR="00544185" w:rsidRPr="00EC4C45">
        <w:t>Contents</w:t>
      </w:r>
    </w:p>
    <w:p w:rsidR="00C50858" w:rsidRDefault="004674DE">
      <w:pPr>
        <w:pStyle w:val="TOC1"/>
        <w:rPr>
          <w:rFonts w:asciiTheme="minorHAnsi" w:eastAsiaTheme="minorEastAsia" w:hAnsiTheme="minorHAnsi" w:cstheme="minorBidi"/>
          <w:color w:val="auto"/>
          <w:sz w:val="22"/>
          <w:lang w:eastAsia="en-GB"/>
        </w:rPr>
      </w:pPr>
      <w:r>
        <w:fldChar w:fldCharType="begin"/>
      </w:r>
      <w:r w:rsidR="00544185">
        <w:instrText xml:space="preserve"> TOC \h \z \t "¬H1,1" </w:instrText>
      </w:r>
      <w:r>
        <w:fldChar w:fldCharType="separate"/>
      </w:r>
      <w:hyperlink w:anchor="_Toc328058003" w:history="1">
        <w:r w:rsidR="00C50858" w:rsidRPr="006511F4">
          <w:rPr>
            <w:rStyle w:val="Hyperlink"/>
          </w:rPr>
          <w:t>Background</w:t>
        </w:r>
        <w:r w:rsidR="00C50858">
          <w:rPr>
            <w:webHidden/>
          </w:rPr>
          <w:tab/>
        </w:r>
        <w:r>
          <w:rPr>
            <w:webHidden/>
          </w:rPr>
          <w:fldChar w:fldCharType="begin"/>
        </w:r>
        <w:r w:rsidR="00C50858">
          <w:rPr>
            <w:webHidden/>
          </w:rPr>
          <w:instrText xml:space="preserve"> PAGEREF _Toc328058003 \h </w:instrText>
        </w:r>
        <w:r>
          <w:rPr>
            <w:webHidden/>
          </w:rPr>
        </w:r>
        <w:r>
          <w:rPr>
            <w:webHidden/>
          </w:rPr>
          <w:fldChar w:fldCharType="separate"/>
        </w:r>
        <w:r w:rsidR="00803BB9">
          <w:rPr>
            <w:webHidden/>
          </w:rPr>
          <w:t>6</w:t>
        </w:r>
        <w:r>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4" w:history="1">
        <w:r w:rsidR="00C50858" w:rsidRPr="006511F4">
          <w:rPr>
            <w:rStyle w:val="Hyperlink"/>
          </w:rPr>
          <w:t>The CDKN Innovation Fund</w:t>
        </w:r>
        <w:r w:rsidR="00C50858">
          <w:rPr>
            <w:webHidden/>
          </w:rPr>
          <w:tab/>
        </w:r>
        <w:r w:rsidR="004674DE">
          <w:rPr>
            <w:webHidden/>
          </w:rPr>
          <w:fldChar w:fldCharType="begin"/>
        </w:r>
        <w:r w:rsidR="00C50858">
          <w:rPr>
            <w:webHidden/>
          </w:rPr>
          <w:instrText xml:space="preserve"> PAGEREF _Toc328058004 \h </w:instrText>
        </w:r>
        <w:r w:rsidR="004674DE">
          <w:rPr>
            <w:webHidden/>
          </w:rPr>
        </w:r>
        <w:r w:rsidR="004674DE">
          <w:rPr>
            <w:webHidden/>
          </w:rPr>
          <w:fldChar w:fldCharType="separate"/>
        </w:r>
        <w:r>
          <w:rPr>
            <w:webHidden/>
          </w:rPr>
          <w:t>7</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5" w:history="1">
        <w:r w:rsidR="00C50858" w:rsidRPr="006511F4">
          <w:rPr>
            <w:rStyle w:val="Hyperlink"/>
          </w:rPr>
          <w:t>Project Evaluation Criteria</w:t>
        </w:r>
        <w:r w:rsidR="00C50858">
          <w:rPr>
            <w:webHidden/>
          </w:rPr>
          <w:tab/>
        </w:r>
        <w:r w:rsidR="004674DE">
          <w:rPr>
            <w:webHidden/>
          </w:rPr>
          <w:fldChar w:fldCharType="begin"/>
        </w:r>
        <w:r w:rsidR="00C50858">
          <w:rPr>
            <w:webHidden/>
          </w:rPr>
          <w:instrText xml:space="preserve"> PAGEREF _Toc328058005 \h </w:instrText>
        </w:r>
        <w:r w:rsidR="004674DE">
          <w:rPr>
            <w:webHidden/>
          </w:rPr>
        </w:r>
        <w:r w:rsidR="004674DE">
          <w:rPr>
            <w:webHidden/>
          </w:rPr>
          <w:fldChar w:fldCharType="separate"/>
        </w:r>
        <w:r>
          <w:rPr>
            <w:webHidden/>
          </w:rPr>
          <w:t>14</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6" w:history="1">
        <w:r w:rsidR="00C50858" w:rsidRPr="006511F4">
          <w:rPr>
            <w:rStyle w:val="Hyperlink"/>
          </w:rPr>
          <w:t>The Application Process</w:t>
        </w:r>
        <w:r w:rsidR="00C50858">
          <w:rPr>
            <w:webHidden/>
          </w:rPr>
          <w:tab/>
        </w:r>
        <w:r w:rsidR="004674DE">
          <w:rPr>
            <w:webHidden/>
          </w:rPr>
          <w:fldChar w:fldCharType="begin"/>
        </w:r>
        <w:r w:rsidR="00C50858">
          <w:rPr>
            <w:webHidden/>
          </w:rPr>
          <w:instrText xml:space="preserve"> PAGEREF _Toc328058006 \h </w:instrText>
        </w:r>
        <w:r w:rsidR="004674DE">
          <w:rPr>
            <w:webHidden/>
          </w:rPr>
        </w:r>
        <w:r w:rsidR="004674DE">
          <w:rPr>
            <w:webHidden/>
          </w:rPr>
          <w:fldChar w:fldCharType="separate"/>
        </w:r>
        <w:r>
          <w:rPr>
            <w:webHidden/>
          </w:rPr>
          <w:t>15</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7" w:history="1">
        <w:r w:rsidR="00C50858" w:rsidRPr="006511F4">
          <w:rPr>
            <w:rStyle w:val="Hyperlink"/>
          </w:rPr>
          <w:t>Annex 1: Evaluation Criteria (Round 2)</w:t>
        </w:r>
        <w:r w:rsidR="00C50858">
          <w:rPr>
            <w:webHidden/>
          </w:rPr>
          <w:tab/>
        </w:r>
        <w:r w:rsidR="004674DE">
          <w:rPr>
            <w:webHidden/>
          </w:rPr>
          <w:fldChar w:fldCharType="begin"/>
        </w:r>
        <w:r w:rsidR="00C50858">
          <w:rPr>
            <w:webHidden/>
          </w:rPr>
          <w:instrText xml:space="preserve"> PAGEREF _Toc328058007 \h </w:instrText>
        </w:r>
        <w:r w:rsidR="004674DE">
          <w:rPr>
            <w:webHidden/>
          </w:rPr>
        </w:r>
        <w:r w:rsidR="004674DE">
          <w:rPr>
            <w:webHidden/>
          </w:rPr>
          <w:fldChar w:fldCharType="separate"/>
        </w:r>
        <w:r>
          <w:rPr>
            <w:webHidden/>
          </w:rPr>
          <w:t>20</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8" w:history="1">
        <w:r w:rsidR="00C50858" w:rsidRPr="006511F4">
          <w:rPr>
            <w:rStyle w:val="Hyperlink"/>
          </w:rPr>
          <w:t>Annex 2: Procurement and Contracting</w:t>
        </w:r>
        <w:r w:rsidR="00C50858">
          <w:rPr>
            <w:webHidden/>
          </w:rPr>
          <w:tab/>
        </w:r>
        <w:r w:rsidR="004674DE">
          <w:rPr>
            <w:webHidden/>
          </w:rPr>
          <w:fldChar w:fldCharType="begin"/>
        </w:r>
        <w:r w:rsidR="00C50858">
          <w:rPr>
            <w:webHidden/>
          </w:rPr>
          <w:instrText xml:space="preserve"> PAGEREF _Toc328058008 \h </w:instrText>
        </w:r>
        <w:r w:rsidR="004674DE">
          <w:rPr>
            <w:webHidden/>
          </w:rPr>
        </w:r>
        <w:r w:rsidR="004674DE">
          <w:rPr>
            <w:webHidden/>
          </w:rPr>
          <w:fldChar w:fldCharType="separate"/>
        </w:r>
        <w:r>
          <w:rPr>
            <w:webHidden/>
          </w:rPr>
          <w:t>22</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09" w:history="1">
        <w:r w:rsidR="00C50858" w:rsidRPr="006511F4">
          <w:rPr>
            <w:rStyle w:val="Hyperlink"/>
          </w:rPr>
          <w:t>Annex 3: Additional Information for Applicants</w:t>
        </w:r>
        <w:r w:rsidR="00C50858">
          <w:rPr>
            <w:webHidden/>
          </w:rPr>
          <w:tab/>
        </w:r>
        <w:r w:rsidR="004674DE">
          <w:rPr>
            <w:webHidden/>
          </w:rPr>
          <w:fldChar w:fldCharType="begin"/>
        </w:r>
        <w:r w:rsidR="00C50858">
          <w:rPr>
            <w:webHidden/>
          </w:rPr>
          <w:instrText xml:space="preserve"> PAGEREF _Toc328058009 \h </w:instrText>
        </w:r>
        <w:r w:rsidR="004674DE">
          <w:rPr>
            <w:webHidden/>
          </w:rPr>
        </w:r>
        <w:r w:rsidR="004674DE">
          <w:rPr>
            <w:webHidden/>
          </w:rPr>
          <w:fldChar w:fldCharType="separate"/>
        </w:r>
        <w:r>
          <w:rPr>
            <w:webHidden/>
          </w:rPr>
          <w:t>24</w:t>
        </w:r>
        <w:r w:rsidR="004674DE">
          <w:rPr>
            <w:webHidden/>
          </w:rPr>
          <w:fldChar w:fldCharType="end"/>
        </w:r>
      </w:hyperlink>
    </w:p>
    <w:p w:rsidR="00C50858" w:rsidRDefault="00803BB9">
      <w:pPr>
        <w:pStyle w:val="TOC1"/>
        <w:rPr>
          <w:rFonts w:asciiTheme="minorHAnsi" w:eastAsiaTheme="minorEastAsia" w:hAnsiTheme="minorHAnsi" w:cstheme="minorBidi"/>
          <w:color w:val="auto"/>
          <w:sz w:val="22"/>
          <w:lang w:eastAsia="en-GB"/>
        </w:rPr>
      </w:pPr>
      <w:hyperlink w:anchor="_Toc328058010" w:history="1">
        <w:r w:rsidR="00C50858" w:rsidRPr="006511F4">
          <w:rPr>
            <w:rStyle w:val="Hyperlink"/>
          </w:rPr>
          <w:t>Annex 4: Developing a strong innovation process</w:t>
        </w:r>
        <w:r w:rsidR="00C50858">
          <w:rPr>
            <w:webHidden/>
          </w:rPr>
          <w:tab/>
        </w:r>
        <w:r w:rsidR="004674DE">
          <w:rPr>
            <w:webHidden/>
          </w:rPr>
          <w:fldChar w:fldCharType="begin"/>
        </w:r>
        <w:r w:rsidR="00C50858">
          <w:rPr>
            <w:webHidden/>
          </w:rPr>
          <w:instrText xml:space="preserve"> PAGEREF _Toc328058010 \h </w:instrText>
        </w:r>
        <w:r w:rsidR="004674DE">
          <w:rPr>
            <w:webHidden/>
          </w:rPr>
        </w:r>
        <w:r w:rsidR="004674DE">
          <w:rPr>
            <w:webHidden/>
          </w:rPr>
          <w:fldChar w:fldCharType="separate"/>
        </w:r>
        <w:r>
          <w:rPr>
            <w:webHidden/>
          </w:rPr>
          <w:t>31</w:t>
        </w:r>
        <w:r w:rsidR="004674DE">
          <w:rPr>
            <w:webHidden/>
          </w:rPr>
          <w:fldChar w:fldCharType="end"/>
        </w:r>
      </w:hyperlink>
    </w:p>
    <w:p w:rsidR="00013C1D" w:rsidRDefault="004674DE" w:rsidP="00544185">
      <w:pPr>
        <w:pStyle w:val="H1"/>
      </w:pPr>
      <w:r>
        <w:lastRenderedPageBreak/>
        <w:fldChar w:fldCharType="end"/>
      </w:r>
      <w:bookmarkStart w:id="1" w:name="_Toc328058003"/>
      <w:r w:rsidR="00CC51EA">
        <w:t>Background</w:t>
      </w:r>
      <w:bookmarkEnd w:id="1"/>
    </w:p>
    <w:bookmarkEnd w:id="0"/>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6"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5"/>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6"/>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7"/>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0800" r="0" b="5461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2" w:name="_Toc328058004"/>
      <w:bookmarkStart w:id="3" w:name="CDKN"/>
      <w:r w:rsidRPr="00544185">
        <w:lastRenderedPageBreak/>
        <w:t>The CDKN Innovation Fund</w:t>
      </w:r>
      <w:bookmarkEnd w:id="2"/>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8"/>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9"/>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10"/>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2"/>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val="en-US"/>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4"/>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firstRow="1" w:lastRow="0" w:firstColumn="1" w:lastColumn="0" w:noHBand="0" w:noVBand="1"/>
      </w:tblPr>
      <w:tblGrid>
        <w:gridCol w:w="1774"/>
        <w:gridCol w:w="6902"/>
      </w:tblGrid>
      <w:tr w:rsidR="00013C1D" w:rsidTr="00687E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firstRow="1" w:lastRow="0" w:firstColumn="0" w:lastColumn="0" w:oddVBand="0" w:evenVBand="0" w:oddHBand="0" w:evenHBand="0" w:firstRowFirstColumn="0" w:firstRowLastColumn="0" w:lastRowFirstColumn="0" w:lastRowLastColumn="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11"/>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 months maximum</w:t>
            </w:r>
          </w:p>
        </w:tc>
      </w:tr>
      <w:tr w:rsidR="00013C1D" w:rsidTr="00687E06">
        <w:trPr>
          <w:trHeight w:val="325"/>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Up to GBP100,000</w:t>
            </w:r>
            <w:r>
              <w:rPr>
                <w:rStyle w:val="FootnoteReference"/>
                <w:rFonts w:cs="Arial"/>
                <w:sz w:val="22"/>
              </w:rPr>
              <w:footnoteReference w:id="12"/>
            </w:r>
          </w:p>
        </w:tc>
      </w:tr>
      <w:tr w:rsidR="00013C1D" w:rsidTr="0068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5" w:history="1">
        <w:r w:rsidRPr="00264228">
          <w:rPr>
            <w:rStyle w:val="Hyperlink"/>
            <w:rFonts w:ascii="Arial" w:hAnsi="Arial" w:cs="Arial"/>
            <w:b/>
          </w:rPr>
          <w:t>technical assistance</w:t>
        </w:r>
      </w:hyperlink>
      <w:r>
        <w:rPr>
          <w:rFonts w:ascii="Arial" w:hAnsi="Arial" w:cs="Arial"/>
          <w:color w:val="000000" w:themeColor="text1"/>
        </w:rPr>
        <w:t xml:space="preserve">, </w:t>
      </w:r>
      <w:hyperlink r:id="rId26"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7" w:history="1">
        <w:r w:rsidRPr="00264228">
          <w:rPr>
            <w:rStyle w:val="Hyperlink"/>
            <w:rFonts w:ascii="Arial" w:hAnsi="Arial" w:cs="Arial"/>
            <w:b/>
          </w:rPr>
          <w:t>research</w:t>
        </w:r>
      </w:hyperlink>
      <w:r>
        <w:rPr>
          <w:rFonts w:ascii="Arial" w:hAnsi="Arial" w:cs="Arial"/>
          <w:color w:val="000000" w:themeColor="text1"/>
        </w:rPr>
        <w:t xml:space="preserve"> and </w:t>
      </w:r>
      <w:hyperlink r:id="rId28"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13"/>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4"/>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5"/>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6"/>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9"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30"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31"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2"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3" w:history="1">
        <w:r w:rsidR="00264228">
          <w:rPr>
            <w:rStyle w:val="Hyperlink"/>
            <w:rFonts w:cs="Arial"/>
            <w:b/>
            <w:lang w:val="en-GB"/>
          </w:rPr>
          <w:t>Southern partner</w:t>
        </w:r>
      </w:hyperlink>
      <w:r>
        <w:rPr>
          <w:rStyle w:val="FootnoteReference"/>
          <w:lang w:val="en-GB"/>
        </w:rPr>
        <w:footnoteReference w:id="17"/>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8"/>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9"/>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20"/>
      </w:r>
      <w:r>
        <w:rPr>
          <w:rFonts w:ascii="Arial" w:eastAsia="Times New Roman" w:hAnsi="Arial" w:cs="Arial"/>
          <w:color w:val="000000"/>
          <w:lang w:eastAsia="en-GB"/>
        </w:rPr>
        <w:t xml:space="preserve"> level and ideally more than one country of study in </w:t>
      </w:r>
      <w:hyperlink r:id="rId34"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5"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6"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21"/>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22"/>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803BB9" w:rsidP="00F22E1C">
      <w:pPr>
        <w:pStyle w:val="ListParagraph"/>
        <w:numPr>
          <w:ilvl w:val="0"/>
          <w:numId w:val="24"/>
        </w:numPr>
        <w:autoSpaceDE w:val="0"/>
        <w:autoSpaceDN w:val="0"/>
        <w:adjustRightInd w:val="0"/>
        <w:spacing w:line="276" w:lineRule="auto"/>
        <w:jc w:val="left"/>
        <w:rPr>
          <w:rFonts w:cs="Arial"/>
          <w:lang w:val="en-GB"/>
        </w:rPr>
      </w:pPr>
      <w:r>
        <w:rPr>
          <w:rFonts w:ascii="MyriadPro-LightSemiCn" w:hAnsi="MyriadPro-LightSemiCn" w:cs="MyriadPro-LightSemiCn"/>
          <w:noProof/>
          <w:color w:val="5D612A"/>
          <w:lang w:val="en-US"/>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364490</wp:posOffset>
                </wp:positionV>
                <wp:extent cx="5870575" cy="272542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725420"/>
                        </a:xfrm>
                        <a:prstGeom prst="rect">
                          <a:avLst/>
                        </a:prstGeom>
                        <a:solidFill>
                          <a:schemeClr val="accent6">
                            <a:lumMod val="40000"/>
                            <a:lumOff val="60000"/>
                          </a:schemeClr>
                        </a:solidFill>
                        <a:ln w="9525">
                          <a:solidFill>
                            <a:srgbClr val="000000"/>
                          </a:solidFill>
                          <a:miter lim="800000"/>
                          <a:headEnd/>
                          <a:tailEnd/>
                        </a:ln>
                      </wps:spPr>
                      <wps:txb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pt;margin-top:28.7pt;width:462.25pt;height:2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" fillcolor="#fbd4b4 [1305]">
                <v:textbo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mc:Fallback>
        </mc:AlternateConten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7"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8"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23"/>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Supporting linkages between policy makers and communities e.g</w:t>
      </w:r>
      <w:proofErr w:type="gramStart"/>
      <w:r>
        <w:rPr>
          <w:lang w:val="en-GB"/>
        </w:rPr>
        <w:t>.  policy</w:t>
      </w:r>
      <w:proofErr w:type="gramEnd"/>
      <w:r>
        <w:rPr>
          <w:lang w:val="en-GB"/>
        </w:rPr>
        <w:t xml:space="preserve">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4" w:name="_Toc328058005"/>
      <w:bookmarkStart w:id="5" w:name="Section2"/>
      <w:bookmarkStart w:id="6" w:name="Projecteligibilitycriteria"/>
      <w:bookmarkStart w:id="7" w:name="ProjectEligibility"/>
      <w:r>
        <w:lastRenderedPageBreak/>
        <w:t>Project Evaluation Criteria</w:t>
      </w:r>
      <w:bookmarkEnd w:id="4"/>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4"/>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8" w:name="_Toc328058006"/>
      <w:bookmarkStart w:id="9" w:name="ApplicationProcess"/>
      <w:r>
        <w:lastRenderedPageBreak/>
        <w:t>The Application Process</w:t>
      </w:r>
      <w:bookmarkEnd w:id="8"/>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9"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40"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41"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5"/>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hyperlink r:id="rId42" w:history="1">
        <w:r w:rsidRPr="00803BB9">
          <w:rPr>
            <w:rStyle w:val="Hyperlink"/>
            <w:rFonts w:ascii="Arial" w:eastAsia="Times New Roman" w:hAnsi="Arial" w:cs="Arial"/>
            <w:b/>
            <w:lang w:eastAsia="en-GB"/>
          </w:rPr>
          <w:t>Application Form provided here</w:t>
        </w:r>
      </w:hyperlink>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completed all relevant sections of the A</w:t>
      </w:r>
      <w:bookmarkStart w:id="10" w:name="_GoBack"/>
      <w:bookmarkEnd w:id="10"/>
      <w:r>
        <w:rPr>
          <w:rFonts w:ascii="Arial" w:hAnsi="Arial" w:cs="Arial"/>
        </w:rPr>
        <w:t xml:space="preserve">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803BB9">
      <w:pPr>
        <w:pStyle w:val="BodyText"/>
        <w:spacing w:after="0"/>
        <w:jc w:val="both"/>
        <w:rPr>
          <w:rFonts w:ascii="Arial" w:hAnsi="Arial" w:cs="Arial"/>
        </w:rPr>
      </w:pPr>
      <w:r>
        <w:rPr>
          <w:rFonts w:ascii="Arial" w:eastAsia="Times New Roman" w:hAnsi="Arial" w:cs="Arial"/>
          <w:noProof/>
          <w:color w:val="000000"/>
          <w:lang w:val="en-US"/>
        </w:rPr>
        <w:lastRenderedPageBreak/>
        <mc:AlternateContent>
          <mc:Choice Requires="wps">
            <w:drawing>
              <wp:inline distT="0" distB="0" distL="0" distR="0">
                <wp:extent cx="5541645" cy="1706245"/>
                <wp:effectExtent l="0" t="0" r="0" b="0"/>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06245"/>
                        </a:xfrm>
                        <a:prstGeom prst="rect">
                          <a:avLst/>
                        </a:prstGeom>
                        <a:solidFill>
                          <a:schemeClr val="accent6">
                            <a:lumMod val="60000"/>
                            <a:lumOff val="40000"/>
                          </a:schemeClr>
                        </a:solidFill>
                        <a:ln w="15875">
                          <a:solidFill>
                            <a:srgbClr val="000000"/>
                          </a:solidFill>
                          <a:miter lim="800000"/>
                          <a:headEnd/>
                          <a:tailEnd/>
                        </a:ln>
                      </wps:spPr>
                      <wps:txb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wps:txbx>
                      <wps:bodyPr rot="0" vert="horz" wrap="square" lIns="91440" tIns="45720" rIns="91440" bIns="45720" anchor="t" anchorCtr="0" upright="1">
                        <a:noAutofit/>
                      </wps:bodyPr>
                    </wps:wsp>
                  </a:graphicData>
                </a:graphic>
              </wp:inline>
            </w:drawing>
          </mc:Choice>
          <mc:Fallback>
            <w:pict>
              <v:shape id="Text Box 24" o:spid="_x0000_s1027" type="#_x0000_t202" style="width:436.3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" fillcolor="#fabf8f [1945]" strokeweight="1.25pt">
                <v:textbo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v:textbox>
                <w10:anchorlock/>
              </v:shape>
            </w:pict>
          </mc:Fallback>
        </mc:AlternateConten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3"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6"/>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 xml:space="preserve">We will not accept </w:t>
      </w:r>
      <w:r w:rsidR="00F671FA" w:rsidRPr="00F671FA">
        <w:rPr>
          <w:sz w:val="22"/>
        </w:rPr>
        <w:lastRenderedPageBreak/>
        <w:t>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4"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7"/>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5"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8"/>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6"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1" w:name="Annex1"/>
    </w:p>
    <w:p w:rsidR="00013C1D" w:rsidRDefault="00CC51EA" w:rsidP="00544185">
      <w:pPr>
        <w:pStyle w:val="H1"/>
      </w:pPr>
      <w:bookmarkStart w:id="12" w:name="_Toc328058007"/>
      <w:r>
        <w:lastRenderedPageBreak/>
        <w:t>Annex 1: Evaluation Criteria (Round 2)</w:t>
      </w:r>
      <w:bookmarkEnd w:id="12"/>
    </w:p>
    <w:bookmarkEnd w:id="11"/>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9"/>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30"/>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3" w:name="_Toc328058008"/>
      <w:bookmarkStart w:id="14" w:name="Annex2"/>
      <w:r>
        <w:lastRenderedPageBreak/>
        <w:t>Annex 2: Procurement and Contracting</w:t>
      </w:r>
      <w:bookmarkEnd w:id="13"/>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7" w:history="1">
        <w:r w:rsidRPr="00264228">
          <w:rPr>
            <w:rStyle w:val="Hyperlink"/>
            <w:rFonts w:ascii="Arial" w:hAnsi="Arial" w:cs="Arial"/>
            <w:b/>
          </w:rPr>
          <w:t>PricewaterhouseCoopers LLP</w:t>
        </w:r>
      </w:hyperlink>
      <w:r>
        <w:rPr>
          <w:rFonts w:ascii="Arial" w:hAnsi="Arial" w:cs="Arial"/>
        </w:rPr>
        <w:t xml:space="preserve"> and comprising the </w:t>
      </w:r>
      <w:hyperlink r:id="rId48" w:history="1">
        <w:r w:rsidRPr="00264228">
          <w:rPr>
            <w:rStyle w:val="Hyperlink"/>
            <w:rFonts w:ascii="Arial" w:hAnsi="Arial" w:cs="Arial"/>
            <w:b/>
          </w:rPr>
          <w:t>Overseas Development Institute</w:t>
        </w:r>
      </w:hyperlink>
      <w:r>
        <w:rPr>
          <w:rFonts w:ascii="Arial" w:hAnsi="Arial" w:cs="Arial"/>
        </w:rPr>
        <w:t xml:space="preserve"> (ODI), </w:t>
      </w:r>
      <w:hyperlink r:id="rId49" w:history="1">
        <w:r w:rsidRPr="00264228">
          <w:rPr>
            <w:rStyle w:val="Hyperlink"/>
            <w:rFonts w:ascii="Arial" w:hAnsi="Arial" w:cs="Arial"/>
            <w:b/>
          </w:rPr>
          <w:t>LEAD International</w:t>
        </w:r>
      </w:hyperlink>
      <w:r>
        <w:rPr>
          <w:rFonts w:ascii="Arial" w:hAnsi="Arial" w:cs="Arial"/>
        </w:rPr>
        <w:t xml:space="preserve">, </w:t>
      </w:r>
      <w:hyperlink r:id="rId50" w:history="1">
        <w:r w:rsidRPr="00264228">
          <w:rPr>
            <w:rStyle w:val="Hyperlink"/>
            <w:rFonts w:ascii="Arial" w:hAnsi="Arial" w:cs="Arial"/>
            <w:b/>
          </w:rPr>
          <w:t>INTRAC</w:t>
        </w:r>
      </w:hyperlink>
      <w:r>
        <w:rPr>
          <w:rFonts w:ascii="Arial" w:hAnsi="Arial" w:cs="Arial"/>
        </w:rPr>
        <w:t xml:space="preserve">, and three regional partners – </w:t>
      </w:r>
      <w:hyperlink r:id="rId51" w:history="1">
        <w:r w:rsidRPr="00264228">
          <w:rPr>
            <w:rStyle w:val="Hyperlink"/>
            <w:rFonts w:ascii="Arial" w:hAnsi="Arial" w:cs="Arial"/>
            <w:b/>
          </w:rPr>
          <w:t>Fundación Futuro Latinoamericano</w:t>
        </w:r>
      </w:hyperlink>
      <w:r>
        <w:rPr>
          <w:rFonts w:ascii="Arial" w:hAnsi="Arial" w:cs="Arial"/>
        </w:rPr>
        <w:t xml:space="preserve"> (Latin America),  </w:t>
      </w:r>
      <w:hyperlink r:id="rId52" w:history="1">
        <w:r w:rsidRPr="00264228">
          <w:rPr>
            <w:rStyle w:val="Hyperlink"/>
            <w:rFonts w:ascii="Arial" w:hAnsi="Arial" w:cs="Arial"/>
            <w:b/>
          </w:rPr>
          <w:t>South-South-North</w:t>
        </w:r>
      </w:hyperlink>
      <w:r>
        <w:rPr>
          <w:rFonts w:ascii="Arial" w:hAnsi="Arial" w:cs="Arial"/>
        </w:rPr>
        <w:t xml:space="preserve"> (Africa) and </w:t>
      </w:r>
      <w:hyperlink r:id="rId53"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4"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5" w:name="Annex3"/>
      <w:bookmarkStart w:id="16" w:name="_Toc328058009"/>
      <w:r>
        <w:lastRenderedPageBreak/>
        <w:t>Annex 3: Additional Information for Applicants</w:t>
      </w:r>
      <w:bookmarkEnd w:id="15"/>
      <w:bookmarkEnd w:id="16"/>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31"/>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32"/>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33"/>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5"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4"/>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6"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5"/>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7"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8"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9" w:history="1">
        <w:r w:rsidRPr="00264228">
          <w:rPr>
            <w:rStyle w:val="Hyperlink"/>
            <w:rFonts w:ascii="Arial" w:hAnsi="Arial" w:cs="Arial"/>
            <w:b/>
          </w:rPr>
          <w:t>Fundación Futuro Latinoamericano</w:t>
        </w:r>
      </w:hyperlink>
      <w:r>
        <w:rPr>
          <w:rFonts w:ascii="Arial" w:hAnsi="Arial" w:cs="Arial"/>
          <w:color w:val="333333"/>
        </w:rPr>
        <w:t xml:space="preserve">, </w:t>
      </w:r>
      <w:hyperlink r:id="rId60" w:history="1">
        <w:r w:rsidRPr="00264228">
          <w:rPr>
            <w:rStyle w:val="Hyperlink"/>
            <w:rFonts w:ascii="Arial" w:hAnsi="Arial" w:cs="Arial"/>
            <w:b/>
          </w:rPr>
          <w:t>INTRAC</w:t>
        </w:r>
      </w:hyperlink>
      <w:r>
        <w:rPr>
          <w:rFonts w:ascii="Arial" w:hAnsi="Arial" w:cs="Arial"/>
          <w:color w:val="333333"/>
        </w:rPr>
        <w:t xml:space="preserve">, </w:t>
      </w:r>
      <w:hyperlink r:id="rId61" w:history="1">
        <w:r w:rsidRPr="00264228">
          <w:rPr>
            <w:rStyle w:val="Hyperlink"/>
            <w:rFonts w:ascii="Arial" w:hAnsi="Arial" w:cs="Arial"/>
            <w:b/>
          </w:rPr>
          <w:t>LEAD International</w:t>
        </w:r>
      </w:hyperlink>
      <w:r>
        <w:rPr>
          <w:rFonts w:ascii="Arial" w:hAnsi="Arial" w:cs="Arial"/>
          <w:color w:val="333333"/>
        </w:rPr>
        <w:t xml:space="preserve">, </w:t>
      </w:r>
      <w:hyperlink r:id="rId62" w:history="1">
        <w:r w:rsidRPr="00264228">
          <w:rPr>
            <w:rStyle w:val="Hyperlink"/>
            <w:rFonts w:ascii="Arial" w:hAnsi="Arial" w:cs="Arial"/>
            <w:b/>
          </w:rPr>
          <w:t>LEAD Pakistan</w:t>
        </w:r>
      </w:hyperlink>
      <w:r>
        <w:rPr>
          <w:rFonts w:ascii="Arial" w:hAnsi="Arial" w:cs="Arial"/>
          <w:color w:val="333333"/>
        </w:rPr>
        <w:t xml:space="preserve">, the </w:t>
      </w:r>
      <w:hyperlink r:id="rId63" w:history="1">
        <w:r w:rsidRPr="00264228">
          <w:rPr>
            <w:rStyle w:val="Hyperlink"/>
            <w:rFonts w:ascii="Arial" w:hAnsi="Arial" w:cs="Arial"/>
            <w:b/>
          </w:rPr>
          <w:t>Overseas Development Institute</w:t>
        </w:r>
      </w:hyperlink>
      <w:r>
        <w:rPr>
          <w:rFonts w:ascii="Arial" w:hAnsi="Arial" w:cs="Arial"/>
          <w:color w:val="333333"/>
        </w:rPr>
        <w:t xml:space="preserve"> and </w:t>
      </w:r>
      <w:hyperlink r:id="rId64"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5"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7" w:name="EligibleCostsandFunding"/>
      <w:r>
        <w:rPr>
          <w:rFonts w:ascii="Arial" w:hAnsi="Arial" w:cs="Arial"/>
          <w:b/>
        </w:rPr>
        <w:t>Payments and Funding Responsibilities</w:t>
      </w:r>
      <w:bookmarkEnd w:id="17"/>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8"/>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togrants"/>
      <w:r>
        <w:rPr>
          <w:rFonts w:ascii="Arial" w:hAnsi="Arial" w:cs="Arial"/>
          <w:b/>
        </w:rPr>
        <w:t xml:space="preserve"> Changes to Awards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ExtensionstoGrants"/>
      <w:r>
        <w:rPr>
          <w:rFonts w:ascii="Arial" w:hAnsi="Arial" w:cs="Arial"/>
          <w:b/>
        </w:rPr>
        <w:t xml:space="preserve"> Extensions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1" w:name="CDKNsRighttoTerminatefunding"/>
      <w:r>
        <w:rPr>
          <w:rFonts w:ascii="Arial" w:hAnsi="Arial" w:cs="Arial"/>
          <w:b/>
        </w:rPr>
        <w:t>14. CDKN’s Right to Terminate funding</w:t>
      </w:r>
      <w:bookmarkEnd w:id="21"/>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2" w:name="_Toc328058010"/>
      <w:bookmarkStart w:id="23" w:name="Annex4"/>
      <w:r>
        <w:lastRenderedPageBreak/>
        <w:t>Annex 4: Developing a strong innovation process</w:t>
      </w:r>
      <w:bookmarkEnd w:id="22"/>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6"/>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7"/>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a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8"/>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9"/>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40"/>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41"/>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E2" w:rsidRDefault="00F018E2">
      <w:pPr>
        <w:spacing w:after="0" w:line="240" w:lineRule="auto"/>
      </w:pPr>
      <w:r>
        <w:separator/>
      </w:r>
    </w:p>
  </w:endnote>
  <w:endnote w:type="continuationSeparator" w:id="0">
    <w:p w:rsidR="00F018E2" w:rsidRDefault="00F0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4674DE">
      <w:fldChar w:fldCharType="begin"/>
    </w:r>
    <w:r>
      <w:instrText xml:space="preserve"> PAGE  \* Arabic  \* MERGEFORMAT </w:instrText>
    </w:r>
    <w:r w:rsidR="004674DE">
      <w:fldChar w:fldCharType="separate"/>
    </w:r>
    <w:r w:rsidR="00803BB9" w:rsidRPr="00803BB9">
      <w:rPr>
        <w:b/>
        <w:noProof/>
        <w:color w:val="F37021"/>
        <w:sz w:val="14"/>
        <w:szCs w:val="14"/>
      </w:rPr>
      <w:t>7</w:t>
    </w:r>
    <w:r w:rsidR="004674DE">
      <w:rPr>
        <w:b/>
        <w:noProof/>
        <w:color w:val="F37021"/>
        <w:sz w:val="14"/>
        <w:szCs w:val="14"/>
      </w:rPr>
      <w:fldChar w:fldCharType="end"/>
    </w:r>
    <w:r>
      <w:rPr>
        <w:noProof/>
        <w:color w:val="F37021"/>
        <w:sz w:val="14"/>
        <w:szCs w:val="14"/>
      </w:rPr>
      <w:t xml:space="preserve"> of </w:t>
    </w:r>
    <w:r w:rsidR="00803BB9">
      <w:fldChar w:fldCharType="begin"/>
    </w:r>
    <w:r w:rsidR="00803BB9">
      <w:instrText xml:space="preserve"> NUMPAGES  \* Arabic  \* MERGEFORMAT </w:instrText>
    </w:r>
    <w:r w:rsidR="00803BB9">
      <w:fldChar w:fldCharType="separate"/>
    </w:r>
    <w:r w:rsidR="00803BB9" w:rsidRPr="00803BB9">
      <w:rPr>
        <w:b/>
        <w:noProof/>
        <w:color w:val="F37021"/>
        <w:sz w:val="14"/>
        <w:szCs w:val="14"/>
      </w:rPr>
      <w:t>33</w:t>
    </w:r>
    <w:r w:rsidR="00803BB9">
      <w:rPr>
        <w:b/>
        <w:noProof/>
        <w:color w:val="F37021"/>
        <w:sz w:val="14"/>
        <w:szCs w:val="14"/>
      </w:rPr>
      <w:fldChar w:fldCharType="end"/>
    </w:r>
  </w:p>
  <w:p w:rsidR="00F018E2" w:rsidRDefault="00F018E2">
    <w:pPr>
      <w:pStyle w:val="Footer"/>
    </w:pPr>
  </w:p>
  <w:p w:rsidR="00F018E2" w:rsidRDefault="00F018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4674DE">
      <w:fldChar w:fldCharType="begin"/>
    </w:r>
    <w:r>
      <w:instrText xml:space="preserve"> PAGE  \* Arabic  \* MERGEFORMAT </w:instrText>
    </w:r>
    <w:r w:rsidR="004674DE">
      <w:fldChar w:fldCharType="separate"/>
    </w:r>
    <w:r w:rsidR="00803BB9" w:rsidRPr="00803BB9">
      <w:rPr>
        <w:b/>
        <w:noProof/>
        <w:color w:val="F37021"/>
        <w:sz w:val="14"/>
        <w:szCs w:val="14"/>
      </w:rPr>
      <w:t>14</w:t>
    </w:r>
    <w:r w:rsidR="004674DE">
      <w:rPr>
        <w:b/>
        <w:noProof/>
        <w:color w:val="F37021"/>
        <w:sz w:val="14"/>
        <w:szCs w:val="14"/>
      </w:rPr>
      <w:fldChar w:fldCharType="end"/>
    </w:r>
    <w:r>
      <w:rPr>
        <w:noProof/>
        <w:color w:val="F37021"/>
        <w:sz w:val="14"/>
        <w:szCs w:val="14"/>
      </w:rPr>
      <w:t xml:space="preserve"> of </w:t>
    </w:r>
    <w:r w:rsidR="00803BB9">
      <w:fldChar w:fldCharType="begin"/>
    </w:r>
    <w:r w:rsidR="00803BB9">
      <w:instrText xml:space="preserve"> NUMPAGES  \* Arabic  \* MERGEFORMAT </w:instrText>
    </w:r>
    <w:r w:rsidR="00803BB9">
      <w:fldChar w:fldCharType="separate"/>
    </w:r>
    <w:r w:rsidR="00803BB9" w:rsidRPr="00803BB9">
      <w:rPr>
        <w:b/>
        <w:noProof/>
        <w:color w:val="F37021"/>
        <w:sz w:val="14"/>
        <w:szCs w:val="14"/>
      </w:rPr>
      <w:t>33</w:t>
    </w:r>
    <w:r w:rsidR="00803BB9">
      <w:rPr>
        <w:b/>
        <w:noProof/>
        <w:color w:val="F37021"/>
        <w:sz w:val="14"/>
        <w:szCs w:val="14"/>
      </w:rPr>
      <w:fldChar w:fldCharType="end"/>
    </w:r>
  </w:p>
  <w:p w:rsidR="00F018E2" w:rsidRDefault="00F018E2">
    <w:pPr>
      <w:pStyle w:val="Footer"/>
    </w:pPr>
  </w:p>
  <w:p w:rsidR="00F018E2" w:rsidRDefault="00F018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E2" w:rsidRDefault="00F018E2">
      <w:pPr>
        <w:spacing w:after="0" w:line="240" w:lineRule="auto"/>
      </w:pPr>
      <w:r>
        <w:separator/>
      </w:r>
    </w:p>
  </w:footnote>
  <w:footnote w:type="continuationSeparator" w:id="0">
    <w:p w:rsidR="00F018E2" w:rsidRDefault="00F018E2">
      <w:pPr>
        <w:spacing w:after="0" w:line="240" w:lineRule="auto"/>
      </w:pPr>
      <w:r>
        <w:continuationSeparator/>
      </w:r>
    </w:p>
  </w:footnote>
  <w:footnote w:id="1">
    <w:p w:rsidR="00B67314" w:rsidRPr="00C512CC" w:rsidRDefault="00B67314" w:rsidP="00B67314">
      <w:pPr>
        <w:pStyle w:val="FootnoteText"/>
        <w:spacing w:after="0" w:line="240" w:lineRule="auto"/>
        <w:rPr>
          <w:rFonts w:ascii="Arial" w:hAnsi="Arial" w:cs="Arial"/>
          <w:sz w:val="18"/>
          <w:szCs w:val="18"/>
        </w:rPr>
      </w:pPr>
      <w:r w:rsidRPr="00C512CC">
        <w:rPr>
          <w:rStyle w:val="FootnoteReference"/>
          <w:rFonts w:cs="Arial"/>
          <w:sz w:val="18"/>
          <w:szCs w:val="18"/>
        </w:rPr>
        <w:footnoteRef/>
      </w:r>
      <w:r w:rsidRPr="00C512CC">
        <w:rPr>
          <w:rFonts w:ascii="Arial" w:hAnsi="Arial" w:cs="Arial"/>
          <w:sz w:val="18"/>
          <w:szCs w:val="18"/>
        </w:rPr>
        <w:t xml:space="preserve"> </w:t>
      </w:r>
      <w:proofErr w:type="gramStart"/>
      <w:r>
        <w:rPr>
          <w:rFonts w:ascii="Arial" w:hAnsi="Arial" w:cs="Arial"/>
          <w:sz w:val="18"/>
          <w:szCs w:val="18"/>
        </w:rPr>
        <w:t>Exc</w:t>
      </w:r>
      <w:r w:rsidRPr="00C512CC">
        <w:rPr>
          <w:rFonts w:ascii="Arial" w:hAnsi="Arial" w:cs="Arial"/>
          <w:sz w:val="18"/>
          <w:szCs w:val="18"/>
        </w:rPr>
        <w:t>lusive of VAT, but exclusive of other applicable taxes</w:t>
      </w:r>
      <w:r>
        <w:rPr>
          <w:rFonts w:ascii="Arial" w:hAnsi="Arial" w:cs="Arial"/>
          <w:sz w:val="18"/>
          <w:szCs w:val="18"/>
        </w:rPr>
        <w:t xml:space="preserve"> in the country of the Lead Applicant</w:t>
      </w:r>
      <w:r w:rsidRPr="00C512CC">
        <w:rPr>
          <w:rFonts w:ascii="Arial" w:hAnsi="Arial" w:cs="Arial"/>
          <w:sz w:val="18"/>
          <w:szCs w:val="18"/>
        </w:rPr>
        <w:t>.</w:t>
      </w:r>
      <w:proofErr w:type="gramEnd"/>
      <w:r w:rsidRPr="00C512CC">
        <w:rPr>
          <w:rFonts w:ascii="Arial" w:hAnsi="Arial" w:cs="Arial"/>
          <w:sz w:val="18"/>
          <w:szCs w:val="18"/>
        </w:rPr>
        <w:t xml:space="preserve"> </w:t>
      </w:r>
    </w:p>
  </w:footnote>
  <w:footnote w:id="2">
    <w:p w:rsidR="00B67314" w:rsidRPr="0079349D" w:rsidRDefault="00B67314" w:rsidP="00B67314">
      <w:pPr>
        <w:pStyle w:val="FootnoteText"/>
        <w:spacing w:after="0" w:line="240" w:lineRule="auto"/>
        <w:rPr>
          <w:rFonts w:ascii="Arial" w:hAnsi="Arial" w:cs="Arial"/>
          <w:sz w:val="18"/>
          <w:szCs w:val="18"/>
        </w:rPr>
      </w:pPr>
      <w:r w:rsidRPr="0079349D">
        <w:rPr>
          <w:rStyle w:val="FootnoteReference"/>
          <w:rFonts w:cs="Arial"/>
          <w:sz w:val="18"/>
          <w:szCs w:val="18"/>
        </w:rPr>
        <w:footnoteRef/>
      </w:r>
      <w:r w:rsidRPr="0079349D">
        <w:rPr>
          <w:rFonts w:ascii="Arial" w:hAnsi="Arial" w:cs="Arial"/>
          <w:sz w:val="18"/>
          <w:szCs w:val="18"/>
        </w:rPr>
        <w:t xml:space="preserve"> Decisions on further funding will be made in early to mid 2013.</w:t>
      </w:r>
    </w:p>
  </w:footnote>
  <w:footnote w:id="3">
    <w:p w:rsidR="00B67314" w:rsidRDefault="00B67314" w:rsidP="00B67314">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as appropriate). These documents should reference specific policies that link with project ideas outlined in the application.</w:t>
      </w:r>
    </w:p>
  </w:footnote>
  <w:footnote w:id="4">
    <w:p w:rsidR="00B67314" w:rsidRPr="0079349D" w:rsidRDefault="00B67314" w:rsidP="00B67314">
      <w:pPr>
        <w:pStyle w:val="FootnoteText"/>
        <w:rPr>
          <w:rFonts w:ascii="Arial" w:hAnsi="Arial" w:cs="Arial"/>
          <w:sz w:val="18"/>
          <w:szCs w:val="18"/>
        </w:rPr>
      </w:pPr>
      <w:r w:rsidRPr="0079349D">
        <w:rPr>
          <w:rStyle w:val="FootnoteReference"/>
          <w:rFonts w:cs="Arial"/>
          <w:sz w:val="18"/>
          <w:szCs w:val="18"/>
        </w:rPr>
        <w:footnoteRef/>
      </w:r>
      <w:r w:rsidRPr="0079349D">
        <w:rPr>
          <w:rFonts w:ascii="Arial" w:hAnsi="Arial" w:cs="Arial"/>
          <w:sz w:val="18"/>
          <w:szCs w:val="18"/>
        </w:rPr>
        <w:t xml:space="preserve"> http://en.wikipedia.org/wiki/Process_agent</w:t>
      </w:r>
    </w:p>
  </w:footnote>
  <w:footnote w:id="5">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6">
    <w:p w:rsidR="00F018E2" w:rsidRDefault="00F018E2"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7">
    <w:p w:rsidR="00F018E2" w:rsidRDefault="00F018E2"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8">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9">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10">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11">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12">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13">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4">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5">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6">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7">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8">
    <w:p w:rsidR="00F018E2" w:rsidRDefault="00F018E2"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9">
    <w:p w:rsidR="00F018E2" w:rsidRDefault="00F018E2"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Communties (RECs) e.g. COMESA, Southern African Development Community (SADC); policy associations and groupings; existing policy dialogue platforms; NGO networks focused on thematic or sectoral areas.</w:t>
      </w:r>
    </w:p>
  </w:footnote>
  <w:footnote w:id="20">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21">
    <w:p w:rsidR="00F018E2" w:rsidRDefault="00F018E2">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22">
    <w:p w:rsidR="00F018E2" w:rsidRDefault="00F018E2">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23">
    <w:p w:rsidR="00F018E2" w:rsidRPr="003B59F2" w:rsidRDefault="00F018E2">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
  </w:footnote>
  <w:footnote w:id="24">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5">
    <w:p w:rsidR="00F018E2" w:rsidRDefault="00F018E2">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 xml:space="preserve">In exceptional circumstances CDKN may give written approval for an applicant to have an extension to the deadline (up to one week only), provided that the applicant contacts CDKN </w:t>
      </w:r>
      <w:r w:rsidR="00F94728">
        <w:rPr>
          <w:rFonts w:ascii="Arial" w:eastAsia="Times New Roman" w:hAnsi="Arial" w:cs="Arial"/>
          <w:color w:val="000000"/>
          <w:sz w:val="18"/>
          <w:szCs w:val="18"/>
          <w:lang w:val="en-US" w:eastAsia="en-GB"/>
        </w:rPr>
        <w:t xml:space="preserve">well </w:t>
      </w:r>
      <w:r>
        <w:rPr>
          <w:rFonts w:ascii="Arial" w:eastAsia="Times New Roman" w:hAnsi="Arial" w:cs="Arial"/>
          <w:color w:val="000000"/>
          <w:sz w:val="18"/>
          <w:szCs w:val="18"/>
          <w:lang w:val="en-US" w:eastAsia="en-GB"/>
        </w:rPr>
        <w:t>in advance with strong justification for this extension.</w:t>
      </w:r>
    </w:p>
  </w:footnote>
  <w:footnote w:id="26">
    <w:p w:rsidR="00F018E2" w:rsidRPr="00BF43A1" w:rsidRDefault="00F018E2"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sidR="00F94728">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7">
    <w:p w:rsidR="00F018E2" w:rsidRPr="00C00599" w:rsidRDefault="00F018E2">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8">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9">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30">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31">
    <w:p w:rsidR="00F018E2" w:rsidRPr="00E23CFD" w:rsidRDefault="00F018E2">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w:t>
      </w:r>
      <w:proofErr w:type="gramStart"/>
      <w:r w:rsidRPr="00E23CFD">
        <w:rPr>
          <w:rFonts w:ascii="Arial" w:hAnsi="Arial" w:cs="Arial"/>
          <w:sz w:val="18"/>
          <w:szCs w:val="18"/>
        </w:rPr>
        <w:t>,000</w:t>
      </w:r>
      <w:proofErr w:type="gramEnd"/>
      <w:r w:rsidR="005F2C22">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32">
    <w:p w:rsidR="00F018E2" w:rsidRDefault="00F018E2">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33">
    <w:p w:rsidR="00F018E2" w:rsidRDefault="00F018E2">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4">
    <w:p w:rsidR="00F018E2" w:rsidRDefault="00F018E2">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5">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6">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7">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8">
    <w:p w:rsidR="00F018E2" w:rsidRPr="0080049B" w:rsidRDefault="00F018E2"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00C0408E" w:rsidRPr="00C0408E">
          <w:rPr>
            <w:rStyle w:val="Hyperlink"/>
            <w:rFonts w:ascii="Arial" w:hAnsi="Arial" w:cs="Arial"/>
            <w:sz w:val="18"/>
            <w:szCs w:val="18"/>
          </w:rPr>
          <w:t>http://www.presencing.com/node/109</w:t>
        </w:r>
      </w:hyperlink>
    </w:p>
  </w:footnote>
  <w:footnote w:id="39">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40">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41">
    <w:p w:rsidR="00F018E2" w:rsidRPr="0080049B" w:rsidRDefault="00F018E2"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Appreciative Inquiry: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1BB4"/>
    <w:multiLevelType w:val="hybridMultilevel"/>
    <w:tmpl w:val="DD8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49037D"/>
    <w:multiLevelType w:val="hybridMultilevel"/>
    <w:tmpl w:val="0E704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271F1"/>
    <w:multiLevelType w:val="hybridMultilevel"/>
    <w:tmpl w:val="95009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E763D"/>
    <w:multiLevelType w:val="hybridMultilevel"/>
    <w:tmpl w:val="CC2AE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4">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8">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7"/>
  </w:num>
  <w:num w:numId="3">
    <w:abstractNumId w:val="37"/>
  </w:num>
  <w:num w:numId="4">
    <w:abstractNumId w:val="18"/>
  </w:num>
  <w:num w:numId="5">
    <w:abstractNumId w:val="19"/>
  </w:num>
  <w:num w:numId="6">
    <w:abstractNumId w:val="10"/>
  </w:num>
  <w:num w:numId="7">
    <w:abstractNumId w:val="38"/>
  </w:num>
  <w:num w:numId="8">
    <w:abstractNumId w:val="15"/>
  </w:num>
  <w:num w:numId="9">
    <w:abstractNumId w:val="14"/>
  </w:num>
  <w:num w:numId="10">
    <w:abstractNumId w:val="27"/>
  </w:num>
  <w:num w:numId="11">
    <w:abstractNumId w:val="40"/>
  </w:num>
  <w:num w:numId="12">
    <w:abstractNumId w:val="9"/>
  </w:num>
  <w:num w:numId="13">
    <w:abstractNumId w:val="29"/>
  </w:num>
  <w:num w:numId="14">
    <w:abstractNumId w:val="0"/>
  </w:num>
  <w:num w:numId="15">
    <w:abstractNumId w:val="23"/>
  </w:num>
  <w:num w:numId="16">
    <w:abstractNumId w:val="22"/>
  </w:num>
  <w:num w:numId="17">
    <w:abstractNumId w:val="20"/>
  </w:num>
  <w:num w:numId="18">
    <w:abstractNumId w:val="32"/>
  </w:num>
  <w:num w:numId="19">
    <w:abstractNumId w:val="8"/>
  </w:num>
  <w:num w:numId="20">
    <w:abstractNumId w:val="17"/>
  </w:num>
  <w:num w:numId="21">
    <w:abstractNumId w:val="25"/>
  </w:num>
  <w:num w:numId="22">
    <w:abstractNumId w:val="34"/>
  </w:num>
  <w:num w:numId="23">
    <w:abstractNumId w:val="1"/>
  </w:num>
  <w:num w:numId="24">
    <w:abstractNumId w:val="28"/>
  </w:num>
  <w:num w:numId="25">
    <w:abstractNumId w:val="24"/>
  </w:num>
  <w:num w:numId="26">
    <w:abstractNumId w:val="39"/>
  </w:num>
  <w:num w:numId="27">
    <w:abstractNumId w:val="35"/>
  </w:num>
  <w:num w:numId="28">
    <w:abstractNumId w:val="36"/>
  </w:num>
  <w:num w:numId="29">
    <w:abstractNumId w:val="6"/>
  </w:num>
  <w:num w:numId="30">
    <w:abstractNumId w:val="3"/>
  </w:num>
  <w:num w:numId="31">
    <w:abstractNumId w:val="13"/>
  </w:num>
  <w:num w:numId="32">
    <w:abstractNumId w:val="26"/>
  </w:num>
  <w:num w:numId="33">
    <w:abstractNumId w:val="4"/>
  </w:num>
  <w:num w:numId="34">
    <w:abstractNumId w:val="41"/>
  </w:num>
  <w:num w:numId="35">
    <w:abstractNumId w:val="2"/>
  </w:num>
  <w:num w:numId="36">
    <w:abstractNumId w:val="31"/>
  </w:num>
  <w:num w:numId="37">
    <w:abstractNumId w:val="12"/>
  </w:num>
  <w:num w:numId="38">
    <w:abstractNumId w:val="21"/>
  </w:num>
  <w:num w:numId="39">
    <w:abstractNumId w:val="30"/>
  </w:num>
  <w:num w:numId="40">
    <w:abstractNumId w:val="11"/>
  </w:num>
  <w:num w:numId="41">
    <w:abstractNumId w:val="5"/>
  </w:num>
  <w:num w:numId="42">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415B2"/>
    <w:rsid w:val="0025599D"/>
    <w:rsid w:val="00264228"/>
    <w:rsid w:val="00282027"/>
    <w:rsid w:val="0029208B"/>
    <w:rsid w:val="002D5195"/>
    <w:rsid w:val="002F5965"/>
    <w:rsid w:val="0036298A"/>
    <w:rsid w:val="003A1E7E"/>
    <w:rsid w:val="003B59F2"/>
    <w:rsid w:val="004674DE"/>
    <w:rsid w:val="00482A80"/>
    <w:rsid w:val="004A1A61"/>
    <w:rsid w:val="004A2195"/>
    <w:rsid w:val="004D1522"/>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803BB9"/>
    <w:rsid w:val="00966092"/>
    <w:rsid w:val="00996CC5"/>
    <w:rsid w:val="009B4A69"/>
    <w:rsid w:val="009B7224"/>
    <w:rsid w:val="009D1E8B"/>
    <w:rsid w:val="00A04E6B"/>
    <w:rsid w:val="00B37FAE"/>
    <w:rsid w:val="00B67314"/>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2AD7"/>
    <w:rsid w:val="00E75C90"/>
    <w:rsid w:val="00E83D42"/>
    <w:rsid w:val="00E97236"/>
    <w:rsid w:val="00EA00A1"/>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Body Text"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Body Text"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novationfund@cdkn.org" TargetMode="External"/><Relationship Id="rId14" Type="http://schemas.openxmlformats.org/officeDocument/2006/relationships/hyperlink" Target="http://cdkn.org/about/who-we-are/innovation-fund/?loclang=en_gb" TargetMode="External"/><Relationship Id="rId15" Type="http://schemas.openxmlformats.org/officeDocument/2006/relationships/hyperlink" Target="mailto:innovationfund-research@cdkn.org" TargetMode="External"/><Relationship Id="rId16" Type="http://schemas.openxmlformats.org/officeDocument/2006/relationships/hyperlink" Target="http://www.cdkn.org" TargetMode="Externa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63" Type="http://schemas.openxmlformats.org/officeDocument/2006/relationships/hyperlink" Target="http://www.odi.org.uk/" TargetMode="External"/><Relationship Id="rId64" Type="http://schemas.openxmlformats.org/officeDocument/2006/relationships/hyperlink" Target="http://www.southsouthnorth.org/" TargetMode="External"/><Relationship Id="rId65" Type="http://schemas.openxmlformats.org/officeDocument/2006/relationships/hyperlink" Target="mailto:innovationfund@cdkn.org"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intrac.org" TargetMode="External"/><Relationship Id="rId51" Type="http://schemas.openxmlformats.org/officeDocument/2006/relationships/hyperlink" Target="http://www.ffla.net" TargetMode="External"/><Relationship Id="rId52" Type="http://schemas.openxmlformats.org/officeDocument/2006/relationships/hyperlink" Target="http://www.southsouthnorth.org" TargetMode="External"/><Relationship Id="rId53" Type="http://schemas.openxmlformats.org/officeDocument/2006/relationships/hyperlink" Target="http://www.lead.org.pk" TargetMode="External"/><Relationship Id="rId54" Type="http://schemas.openxmlformats.org/officeDocument/2006/relationships/hyperlink" Target="http://cdkn.org/wp-content/uploads/2011/09/B_CDKN-Contract-TC-2011_English.pdf" TargetMode="External"/><Relationship Id="rId55" Type="http://schemas.openxmlformats.org/officeDocument/2006/relationships/hyperlink" Target="http://cdkn.org/event/cdkn-action-lab/?loclang=en_gb" TargetMode="External"/><Relationship Id="rId56" Type="http://schemas.openxmlformats.org/officeDocument/2006/relationships/hyperlink" Target="http://cdkn.org/innovative-projects-supported-by-cdkn/" TargetMode="External"/><Relationship Id="rId57" Type="http://schemas.openxmlformats.org/officeDocument/2006/relationships/hyperlink" Target="http://cdkn.org/wp-content/uploads/2011/09/CDKN-Expenses-Policy-for-suppliers_20121.pdf" TargetMode="External"/><Relationship Id="rId58" Type="http://schemas.openxmlformats.org/officeDocument/2006/relationships/hyperlink" Target="http://www.pwc.co.uk/" TargetMode="External"/><Relationship Id="rId59" Type="http://schemas.openxmlformats.org/officeDocument/2006/relationships/hyperlink" Target="http://www.ffla.net/new/" TargetMode="External"/><Relationship Id="rId40" Type="http://schemas.openxmlformats.org/officeDocument/2006/relationships/hyperlink" Target="mailto:innovationfund@cdkn.org" TargetMode="External"/><Relationship Id="rId41" Type="http://schemas.openxmlformats.org/officeDocument/2006/relationships/hyperlink" Target="mailto:innovationfund@cdkn.org" TargetMode="External"/><Relationship Id="rId42" Type="http://schemas.openxmlformats.org/officeDocument/2006/relationships/hyperlink" Target="http://cdkn.org/wp-content/uploads/2012/06/CDKN-Innovation-Fund-Round-2-Application-Form_PUBLISHING-VERSION_FINAL1.docx" TargetMode="External"/><Relationship Id="rId43" Type="http://schemas.openxmlformats.org/officeDocument/2006/relationships/hyperlink" Target="mailto:innovationfund-research@cdkn.org" TargetMode="External"/><Relationship Id="rId44" Type="http://schemas.openxmlformats.org/officeDocument/2006/relationships/hyperlink" Target="http://cdkn.org/wp-content/uploads/2011/09/D_CDKN-Non-Disclosure-Agreement.pdf" TargetMode="External"/><Relationship Id="rId45" Type="http://schemas.openxmlformats.org/officeDocument/2006/relationships/hyperlink" Target="http://cdkn.org/how-to-work-with-us/how-we-procure-services/information-for-suppliers/?loclang=en_gb" TargetMode="External"/><Relationship Id="rId46" Type="http://schemas.openxmlformats.org/officeDocument/2006/relationships/hyperlink" Target="http://experts.cdkn.org/about-the-roster" TargetMode="External"/><Relationship Id="rId47" Type="http://schemas.openxmlformats.org/officeDocument/2006/relationships/hyperlink" Target="http://www.pwc.co.uk" TargetMode="External"/><Relationship Id="rId48" Type="http://schemas.openxmlformats.org/officeDocument/2006/relationships/hyperlink" Target="http://www.odi.org.uk" TargetMode="External"/><Relationship Id="rId49" Type="http://schemas.openxmlformats.org/officeDocument/2006/relationships/hyperlink" Target="http://www.lead.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dkn.org/2012/05/low-emissions-development-strategy-leds-collaboration-in-action-workshop/?loclang=en_gb" TargetMode="External"/><Relationship Id="rId31" Type="http://schemas.openxmlformats.org/officeDocument/2006/relationships/hyperlink" Target="http://cdkn.org/about/who-we-are/innovation-fund/?loclang=en_gb" TargetMode="External"/><Relationship Id="rId32" Type="http://schemas.openxmlformats.org/officeDocument/2006/relationships/hyperlink" Target="http://cdkn.org/about/who-we-are/innovation-fund/?loclang=en_gb" TargetMode="External"/><Relationship Id="rId33" Type="http://schemas.openxmlformats.org/officeDocument/2006/relationships/hyperlink" Target="http://www.oecd.org/document/45/0,3746,en_2649_34447_2093101_1_1_1_1,00.html" TargetMode="External"/><Relationship Id="rId34" Type="http://schemas.openxmlformats.org/officeDocument/2006/relationships/hyperlink" Target="http://stats.oecd.org/glossary/detail.asp?ID=5970" TargetMode="External"/><Relationship Id="rId35" Type="http://schemas.openxmlformats.org/officeDocument/2006/relationships/hyperlink" Target="http://stats.oecd.org/glossary/detail.asp?ID=5971" TargetMode="External"/><Relationship Id="rId36" Type="http://schemas.openxmlformats.org/officeDocument/2006/relationships/hyperlink" Target="http://www.oecd.org/document/45/0,3746,en_2649_34447_2093101_1_1_1_1,00.html" TargetMode="External"/><Relationship Id="rId37" Type="http://schemas.openxmlformats.org/officeDocument/2006/relationships/hyperlink" Target="http://www.cdkn.org/" TargetMode="External"/><Relationship Id="rId38" Type="http://schemas.openxmlformats.org/officeDocument/2006/relationships/hyperlink" Target="http://www.cdkn.org/" TargetMode="External"/><Relationship Id="rId39" Type="http://schemas.openxmlformats.org/officeDocument/2006/relationships/hyperlink" Target="http://www.cdkn.org" TargetMode="Externa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footer" Target="footer1.xml"/><Relationship Id="rId23" Type="http://schemas.openxmlformats.org/officeDocument/2006/relationships/image" Target="media/image2.png"/><Relationship Id="rId24" Type="http://schemas.openxmlformats.org/officeDocument/2006/relationships/footer" Target="footer2.xml"/><Relationship Id="rId25" Type="http://schemas.openxmlformats.org/officeDocument/2006/relationships/hyperlink" Target="http://cdkn.org/about/our-services/technical-assistance/" TargetMode="External"/><Relationship Id="rId26" Type="http://schemas.openxmlformats.org/officeDocument/2006/relationships/hyperlink" Target="http://cdkn.org/how-to-work-with-us/our-work-with-developing-countries/?loclang=en_gb" TargetMode="External"/><Relationship Id="rId27" Type="http://schemas.openxmlformats.org/officeDocument/2006/relationships/hyperlink" Target="http://cdkn.org/how-to-work-with-us/how-we-commission-research/?loclang=en_gb" TargetMode="External"/><Relationship Id="rId28" Type="http://schemas.openxmlformats.org/officeDocument/2006/relationships/hyperlink" Target="http://cdkn.org/about/our-services/knowledge-sharing/?loclang=en_gb" TargetMode="External"/><Relationship Id="rId29" Type="http://schemas.openxmlformats.org/officeDocument/2006/relationships/hyperlink" Target="http://cdkn.org/event/cdkn-action-lab/?loclang=en_gb" TargetMode="External"/><Relationship Id="rId60" Type="http://schemas.openxmlformats.org/officeDocument/2006/relationships/hyperlink" Target="http://www.intrac.org/" TargetMode="External"/><Relationship Id="rId61" Type="http://schemas.openxmlformats.org/officeDocument/2006/relationships/hyperlink" Target="http://www.lead.org/" TargetMode="External"/><Relationship Id="rId62" Type="http://schemas.openxmlformats.org/officeDocument/2006/relationships/hyperlink" Target="http://www.lead.org.pk/"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cdkn.org/newsletter/" TargetMode="External"/><Relationship Id="rId12" Type="http://schemas.openxmlformats.org/officeDocument/2006/relationships/hyperlink" Target="http://www.oecd.org/dataoecd/9/50/48858205.pdf" TargetMode="External"/><Relationship Id="rId13" Type="http://schemas.openxmlformats.org/officeDocument/2006/relationships/hyperlink" Target="http://cdkn.org/" TargetMode="External"/><Relationship Id="rId14" Type="http://schemas.openxmlformats.org/officeDocument/2006/relationships/hyperlink" Target="http://cdkn.org/resource/cdkn-action-lab-prospectus/?loclang=en_gb" TargetMode="External"/><Relationship Id="rId15"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7" Type="http://schemas.openxmlformats.org/officeDocument/2006/relationships/hyperlink" Target="http://en.wikipedia.org/wiki/Open_Space_Technology" TargetMode="External"/><Relationship Id="rId18" Type="http://schemas.openxmlformats.org/officeDocument/2006/relationships/hyperlink" Target="http://en.wikipedia.org/wiki/Action_research" TargetMode="External"/><Relationship Id="rId19" Type="http://schemas.openxmlformats.org/officeDocument/2006/relationships/hyperlink" Target="http://en.wikipedia.org/wiki/Appreciative_inquiry" TargetMode="External"/><Relationship Id="rId1" Type="http://schemas.openxmlformats.org/officeDocument/2006/relationships/hyperlink" Target="http://cdkn.org/about/our-services/partnership-building/?loclang=en_gb" TargetMode="External"/><Relationship Id="rId2" Type="http://schemas.openxmlformats.org/officeDocument/2006/relationships/hyperlink" Target="http://www.humanitarianinnovation.org/" TargetMode="External"/><Relationship Id="rId3" Type="http://schemas.openxmlformats.org/officeDocument/2006/relationships/hyperlink" Target="http://oxforddictionaries.com/definition/game%2Bchanger" TargetMode="External"/><Relationship Id="rId4" Type="http://schemas.openxmlformats.org/officeDocument/2006/relationships/hyperlink" Target="http://www.presencing.com/node/109" TargetMode="External"/><Relationship Id="rId5" Type="http://schemas.openxmlformats.org/officeDocument/2006/relationships/hyperlink" Target="http://en.wikipedia.org/wiki/Action_research" TargetMode="External"/><Relationship Id="rId6" Type="http://schemas.openxmlformats.org/officeDocument/2006/relationships/hyperlink" Target="http://en.wikipedia.org/wiki/Open_Space_Technology" TargetMode="External"/><Relationship Id="rId7" Type="http://schemas.openxmlformats.org/officeDocument/2006/relationships/hyperlink" Target="http://ssc.undp.org/content/ssc/about/what_is_ssc.html" TargetMode="External"/><Relationship Id="rId8" Type="http://schemas.openxmlformats.org/officeDocument/2006/relationships/hyperlink" Target="http://en.wikipedia.org/wiki/South-South_Cooperation" TargetMode="External"/><Relationship Id="rId9"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FAF6574F-43A8-4055-AA7B-F42129835C1F}" srcId="{26AC83CE-2F6D-4428-9A54-947C6663EB9B}" destId="{B43B3E15-559E-4AE6-9E0B-5B2066AB6FC0}" srcOrd="0" destOrd="0" parTransId="{10348A06-CA33-4471-92D0-8E965C959DE5}" sibTransId="{6D861936-AFB7-4F21-A074-39E65664C182}"/>
    <dgm:cxn modelId="{B378F019-A7E0-426F-8257-6434E0CB6292}" type="presOf" srcId="{77E6C4F8-ED86-48D5-A9AC-E1AF8F5005B3}" destId="{39280D9A-B741-44F8-80A2-14327C28F74C}" srcOrd="0" destOrd="0" presId="urn:microsoft.com/office/officeart/2005/8/layout/radial6"/>
    <dgm:cxn modelId="{D8AB3984-A664-4B93-815D-98AEE6AF32A9}" type="presOf" srcId="{B34B8320-033E-4596-AD73-814534991A79}" destId="{E4C50DE2-7351-47DE-9FD9-9FBBC50FB7F2}" srcOrd="0" destOrd="0" presId="urn:microsoft.com/office/officeart/2005/8/layout/radial6"/>
    <dgm:cxn modelId="{568B0195-27AB-4682-AD91-D581468BD7FB}" type="presOf" srcId="{0A6B8FA2-6FEF-4EC1-91CC-90C273B4FA1F}" destId="{CB54387D-AEB7-4C8F-92E6-2FBABFDAA086}"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B21CA632-7CA8-425C-A7C2-3009E235C1DC}" srcId="{26AC83CE-2F6D-4428-9A54-947C6663EB9B}" destId="{8D63C87B-CF37-4B02-A6D3-D37B1F4609C2}" srcOrd="1" destOrd="0" parTransId="{88826A55-F449-49AE-9D82-D34DE17C8264}" sibTransId="{0DCA4286-78F8-40DC-A737-9CE71ED48436}"/>
    <dgm:cxn modelId="{BC9094A8-793C-4942-ADEE-C2396FCA7C86}" srcId="{26AC83CE-2F6D-4428-9A54-947C6663EB9B}" destId="{77E6C4F8-ED86-48D5-A9AC-E1AF8F5005B3}" srcOrd="3" destOrd="0" parTransId="{A3519591-F76F-4086-B1CB-0E8BAEF276A1}" sibTransId="{B34B8320-033E-4596-AD73-814534991A79}"/>
    <dgm:cxn modelId="{44C50441-9E74-4BAE-842E-C4BA163940F5}" srcId="{26AC83CE-2F6D-4428-9A54-947C6663EB9B}" destId="{0A6B8FA2-6FEF-4EC1-91CC-90C273B4FA1F}" srcOrd="2" destOrd="0" parTransId="{8881D1B3-F581-420E-837B-B91A77170379}" sibTransId="{2D8ABEAB-3BD4-4A93-BB1E-01A20092ED2A}"/>
    <dgm:cxn modelId="{0B76CAF2-230B-41C4-9A7C-9E3E0561005D}" type="presOf" srcId="{2D8ABEAB-3BD4-4A93-BB1E-01A20092ED2A}" destId="{184C168B-EC27-4A4D-B3B5-668E3F1130A7}"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8AE3C95F-FBA8-46A0-94E1-CCC6588E29E9}" type="presOf" srcId="{B43B3E15-559E-4AE6-9E0B-5B2066AB6FC0}" destId="{3EFD39DE-E574-45C0-8497-79149385D3A1}" srcOrd="0" destOrd="0" presId="urn:microsoft.com/office/officeart/2005/8/layout/radial6"/>
    <dgm:cxn modelId="{510AE2F9-3BFB-43B9-BFB0-E69DB8B6F9FA}" type="presOf" srcId="{8D63C87B-CF37-4B02-A6D3-D37B1F4609C2}" destId="{E12584CA-2EED-4A3D-B58F-7FE915DEAD2B}" srcOrd="0" destOrd="0" presId="urn:microsoft.com/office/officeart/2005/8/layout/radial6"/>
    <dgm:cxn modelId="{CFDF75D1-0769-4EC9-9A3C-0D9F102DAB2D}" type="presOf" srcId="{30C4B62F-7FE9-49B8-B24A-DD8A77765445}" destId="{78CCBFA6-C1AF-44ED-8EE8-E2264468D8D4}" srcOrd="0" destOrd="0" presId="urn:microsoft.com/office/officeart/2005/8/layout/radial6"/>
    <dgm:cxn modelId="{164F6F4F-0CD9-4D08-A80E-6A5E007FC9CD}" type="presOf" srcId="{0DCA4286-78F8-40DC-A737-9CE71ED48436}" destId="{5B6FA05B-B7F8-4DBB-A4F4-E05D63E6AF00}" srcOrd="0" destOrd="0" presId="urn:microsoft.com/office/officeart/2005/8/layout/radial6"/>
    <dgm:cxn modelId="{B798B550-B060-4513-B96E-096861CF5A88}" type="presOf" srcId="{6D861936-AFB7-4F21-A074-39E65664C182}" destId="{68ED2B18-D3FC-4B70-AF3C-1126A487919F}"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614536" y="912759"/>
        <a:ext cx="609682" cy="609682"/>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662578" y="51814"/>
        <a:ext cx="513597" cy="501139"/>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577795" y="967030"/>
        <a:ext cx="513597" cy="501139"/>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662578" y="1882247"/>
        <a:ext cx="513597" cy="501139"/>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747361" y="967030"/>
        <a:ext cx="513597" cy="501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2.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4B0992-447A-EE45-9ECB-BCA9BDEB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9471</Words>
  <Characters>53991</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63336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Imogen Martineau</cp:lastModifiedBy>
  <cp:revision>2</cp:revision>
  <cp:lastPrinted>2012-07-13T14:14:00Z</cp:lastPrinted>
  <dcterms:created xsi:type="dcterms:W3CDTF">2012-07-13T14:16:00Z</dcterms:created>
  <dcterms:modified xsi:type="dcterms:W3CDTF">2012-07-13T14:16:00Z</dcterms:modified>
</cp:coreProperties>
</file>